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6FE8" w14:textId="77777777" w:rsidR="00AA3564" w:rsidRDefault="00AA3564" w:rsidP="0078055E">
      <w:pPr>
        <w:ind w:left="6480" w:firstLine="720"/>
        <w:jc w:val="right"/>
      </w:pPr>
    </w:p>
    <w:tbl>
      <w:tblPr>
        <w:tblW w:w="0" w:type="auto"/>
        <w:tblLook w:val="01E0" w:firstRow="1" w:lastRow="1" w:firstColumn="1" w:lastColumn="1" w:noHBand="0" w:noVBand="0"/>
      </w:tblPr>
      <w:tblGrid>
        <w:gridCol w:w="8420"/>
        <w:gridCol w:w="222"/>
      </w:tblGrid>
      <w:tr w:rsidR="0078055E" w14:paraId="35A6EFD1" w14:textId="77777777">
        <w:trPr>
          <w:trHeight w:val="1485"/>
        </w:trPr>
        <w:tc>
          <w:tcPr>
            <w:tcW w:w="4429" w:type="dxa"/>
            <w:vAlign w:val="center"/>
          </w:tcPr>
          <w:p w14:paraId="79940D97" w14:textId="1021D96C" w:rsidR="0078055E" w:rsidRDefault="00CE63A9" w:rsidP="00DD75F6">
            <w:pPr>
              <w:rPr>
                <w:sz w:val="22"/>
              </w:rPr>
            </w:pPr>
            <w:r>
              <w:rPr>
                <w:noProof/>
              </w:rPr>
              <w:drawing>
                <wp:inline distT="0" distB="0" distL="0" distR="0" wp14:anchorId="6D3B30A1" wp14:editId="101FE1BB">
                  <wp:extent cx="5257800" cy="1314450"/>
                  <wp:effectExtent l="0" t="0" r="0" b="0"/>
                  <wp:docPr id="4" name="Picture 1" descr="Mansfield District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nsfield District Council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0" cy="1314450"/>
                          </a:xfrm>
                          <a:prstGeom prst="rect">
                            <a:avLst/>
                          </a:prstGeom>
                          <a:noFill/>
                          <a:ln>
                            <a:noFill/>
                          </a:ln>
                        </pic:spPr>
                      </pic:pic>
                    </a:graphicData>
                  </a:graphic>
                </wp:inline>
              </w:drawing>
            </w:r>
          </w:p>
        </w:tc>
        <w:tc>
          <w:tcPr>
            <w:tcW w:w="4429" w:type="dxa"/>
          </w:tcPr>
          <w:p w14:paraId="3FDA52CA" w14:textId="77777777" w:rsidR="0078055E" w:rsidRDefault="0078055E" w:rsidP="0078055E">
            <w:pPr>
              <w:jc w:val="right"/>
              <w:rPr>
                <w:sz w:val="22"/>
              </w:rPr>
            </w:pPr>
          </w:p>
        </w:tc>
      </w:tr>
    </w:tbl>
    <w:p w14:paraId="604AF5FF" w14:textId="77777777" w:rsidR="00FF49AC" w:rsidRDefault="00FF49AC" w:rsidP="00FF49AC">
      <w:pPr>
        <w:rPr>
          <w:b/>
          <w:sz w:val="22"/>
          <w:szCs w:val="22"/>
        </w:rPr>
      </w:pPr>
    </w:p>
    <w:p w14:paraId="36CC2602" w14:textId="77777777" w:rsidR="00080B60" w:rsidRPr="00080B60" w:rsidRDefault="00080B60" w:rsidP="00080B60">
      <w:pPr>
        <w:pStyle w:val="BlockText"/>
        <w:tabs>
          <w:tab w:val="left" w:pos="0"/>
          <w:tab w:val="left" w:pos="142"/>
          <w:tab w:val="left" w:pos="567"/>
          <w:tab w:val="left" w:pos="709"/>
        </w:tabs>
        <w:ind w:left="0" w:right="-149" w:firstLine="0"/>
        <w:jc w:val="both"/>
        <w:rPr>
          <w:rFonts w:cs="Arial"/>
          <w:b/>
          <w:color w:val="FF0000"/>
          <w:sz w:val="20"/>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1134"/>
        <w:gridCol w:w="1418"/>
      </w:tblGrid>
      <w:tr w:rsidR="002A0CBD" w:rsidRPr="00080B60" w14:paraId="6C5D2C8D" w14:textId="77777777">
        <w:trPr>
          <w:cantSplit/>
          <w:trHeight w:val="715"/>
        </w:trPr>
        <w:tc>
          <w:tcPr>
            <w:tcW w:w="9923" w:type="dxa"/>
            <w:gridSpan w:val="4"/>
            <w:tcBorders>
              <w:top w:val="single" w:sz="4" w:space="0" w:color="000000"/>
              <w:left w:val="single" w:sz="4" w:space="0" w:color="000000"/>
              <w:right w:val="single" w:sz="4" w:space="0" w:color="000000"/>
            </w:tcBorders>
          </w:tcPr>
          <w:p w14:paraId="50DAE38E" w14:textId="77777777" w:rsidR="002A0CBD" w:rsidRDefault="002A0CBD" w:rsidP="00852B24">
            <w:pPr>
              <w:pStyle w:val="Header"/>
              <w:jc w:val="center"/>
              <w:rPr>
                <w:rFonts w:ascii="Arial" w:hAnsi="Arial" w:cs="Arial"/>
                <w:b/>
              </w:rPr>
            </w:pPr>
          </w:p>
          <w:p w14:paraId="7858ADB4" w14:textId="77777777" w:rsidR="002A0CBD" w:rsidRPr="0092435F" w:rsidRDefault="002A0CBD" w:rsidP="00852B24">
            <w:pPr>
              <w:pStyle w:val="Header"/>
              <w:jc w:val="center"/>
              <w:rPr>
                <w:rFonts w:ascii="Arial" w:hAnsi="Arial" w:cs="Arial"/>
                <w:b/>
                <w:sz w:val="24"/>
                <w:szCs w:val="24"/>
              </w:rPr>
            </w:pPr>
            <w:r w:rsidRPr="0092435F">
              <w:rPr>
                <w:rFonts w:ascii="Arial" w:hAnsi="Arial" w:cs="Arial"/>
                <w:b/>
                <w:sz w:val="24"/>
                <w:szCs w:val="24"/>
              </w:rPr>
              <w:t>HOUSING SERVICES</w:t>
            </w:r>
          </w:p>
          <w:p w14:paraId="7D0CBA8A" w14:textId="77777777" w:rsidR="002A0CBD" w:rsidRPr="00080B60" w:rsidRDefault="002A0CBD" w:rsidP="00080B60">
            <w:pPr>
              <w:pStyle w:val="Header"/>
              <w:jc w:val="both"/>
              <w:rPr>
                <w:rFonts w:ascii="Arial" w:hAnsi="Arial" w:cs="Arial"/>
                <w:b/>
              </w:rPr>
            </w:pPr>
          </w:p>
        </w:tc>
      </w:tr>
      <w:tr w:rsidR="002A0CBD" w:rsidRPr="00080B60" w14:paraId="08CD83E2" w14:textId="77777777" w:rsidTr="00372E6F">
        <w:trPr>
          <w:cantSplit/>
          <w:trHeight w:val="852"/>
        </w:trPr>
        <w:tc>
          <w:tcPr>
            <w:tcW w:w="1560" w:type="dxa"/>
            <w:tcBorders>
              <w:top w:val="single" w:sz="4" w:space="0" w:color="000000"/>
              <w:left w:val="single" w:sz="4" w:space="0" w:color="000000"/>
              <w:bottom w:val="nil"/>
              <w:right w:val="single" w:sz="4" w:space="0" w:color="FFFFFF"/>
            </w:tcBorders>
            <w:vAlign w:val="center"/>
          </w:tcPr>
          <w:p w14:paraId="4D831721" w14:textId="77777777" w:rsidR="002A0CBD" w:rsidRPr="0092435F" w:rsidRDefault="002A0CBD" w:rsidP="00372E6F">
            <w:pPr>
              <w:pStyle w:val="Header"/>
              <w:tabs>
                <w:tab w:val="left" w:pos="7560"/>
              </w:tabs>
              <w:rPr>
                <w:rFonts w:ascii="Arial" w:hAnsi="Arial" w:cs="Arial"/>
                <w:sz w:val="24"/>
                <w:szCs w:val="24"/>
              </w:rPr>
            </w:pPr>
            <w:r w:rsidRPr="0092435F">
              <w:rPr>
                <w:rFonts w:ascii="Arial" w:hAnsi="Arial" w:cs="Arial"/>
                <w:sz w:val="24"/>
                <w:szCs w:val="24"/>
              </w:rPr>
              <w:t>Policy</w:t>
            </w:r>
          </w:p>
        </w:tc>
        <w:tc>
          <w:tcPr>
            <w:tcW w:w="5811" w:type="dxa"/>
            <w:tcBorders>
              <w:top w:val="single" w:sz="4" w:space="0" w:color="000000"/>
              <w:left w:val="single" w:sz="4" w:space="0" w:color="000000"/>
              <w:bottom w:val="single" w:sz="4" w:space="0" w:color="000000"/>
              <w:right w:val="single" w:sz="4" w:space="0" w:color="000000"/>
            </w:tcBorders>
            <w:vAlign w:val="center"/>
          </w:tcPr>
          <w:p w14:paraId="64BB4182" w14:textId="77777777" w:rsidR="00C62FFF" w:rsidRDefault="00E94874" w:rsidP="00372E6F">
            <w:pPr>
              <w:pStyle w:val="Header"/>
              <w:tabs>
                <w:tab w:val="left" w:pos="7560"/>
              </w:tabs>
              <w:jc w:val="center"/>
              <w:rPr>
                <w:rFonts w:ascii="Arial" w:hAnsi="Arial" w:cs="Arial"/>
                <w:b/>
                <w:sz w:val="24"/>
                <w:szCs w:val="24"/>
              </w:rPr>
            </w:pPr>
            <w:r>
              <w:rPr>
                <w:rFonts w:ascii="Arial" w:hAnsi="Arial" w:cs="Arial"/>
                <w:b/>
                <w:sz w:val="24"/>
                <w:szCs w:val="24"/>
              </w:rPr>
              <w:t>Rent Arrears Policy</w:t>
            </w:r>
          </w:p>
          <w:p w14:paraId="7ECD0F95" w14:textId="77777777" w:rsidR="002A0CBD" w:rsidRPr="0092435F" w:rsidRDefault="00C62FFF" w:rsidP="00372E6F">
            <w:pPr>
              <w:pStyle w:val="Header"/>
              <w:tabs>
                <w:tab w:val="left" w:pos="7560"/>
              </w:tabs>
              <w:jc w:val="center"/>
              <w:rPr>
                <w:rFonts w:ascii="Arial" w:hAnsi="Arial" w:cs="Arial"/>
                <w:b/>
                <w:sz w:val="24"/>
                <w:szCs w:val="24"/>
              </w:rPr>
            </w:pPr>
            <w:r>
              <w:rPr>
                <w:rFonts w:ascii="Arial" w:hAnsi="Arial" w:cs="Arial"/>
                <w:b/>
                <w:sz w:val="24"/>
                <w:szCs w:val="24"/>
              </w:rPr>
              <w:t>(</w:t>
            </w:r>
            <w:r w:rsidR="00E94874">
              <w:rPr>
                <w:rFonts w:ascii="Arial" w:hAnsi="Arial" w:cs="Arial"/>
                <w:b/>
                <w:sz w:val="24"/>
                <w:szCs w:val="24"/>
              </w:rPr>
              <w:t>including</w:t>
            </w:r>
            <w:r>
              <w:rPr>
                <w:rFonts w:ascii="Arial" w:hAnsi="Arial" w:cs="Arial"/>
                <w:b/>
                <w:sz w:val="24"/>
                <w:szCs w:val="24"/>
              </w:rPr>
              <w:t xml:space="preserve"> Tenancy charges)</w:t>
            </w:r>
          </w:p>
        </w:tc>
        <w:tc>
          <w:tcPr>
            <w:tcW w:w="1134" w:type="dxa"/>
            <w:tcBorders>
              <w:top w:val="single" w:sz="4" w:space="0" w:color="000000"/>
              <w:left w:val="nil"/>
              <w:right w:val="single" w:sz="4" w:space="0" w:color="000000"/>
            </w:tcBorders>
            <w:shd w:val="clear" w:color="auto" w:fill="auto"/>
            <w:vAlign w:val="center"/>
          </w:tcPr>
          <w:p w14:paraId="50C1ADD2" w14:textId="5A0D22D1" w:rsidR="0092435F" w:rsidRPr="0092435F" w:rsidRDefault="002A0CBD" w:rsidP="00372E6F">
            <w:pPr>
              <w:pStyle w:val="Header"/>
              <w:tabs>
                <w:tab w:val="left" w:pos="7560"/>
              </w:tabs>
              <w:rPr>
                <w:rFonts w:ascii="Arial" w:hAnsi="Arial" w:cs="Arial"/>
                <w:sz w:val="24"/>
                <w:szCs w:val="24"/>
              </w:rPr>
            </w:pPr>
            <w:r w:rsidRPr="0092435F">
              <w:rPr>
                <w:rFonts w:ascii="Arial" w:hAnsi="Arial" w:cs="Arial"/>
                <w:sz w:val="24"/>
                <w:szCs w:val="24"/>
              </w:rPr>
              <w:t>Version</w:t>
            </w:r>
          </w:p>
        </w:tc>
        <w:tc>
          <w:tcPr>
            <w:tcW w:w="1418" w:type="dxa"/>
            <w:tcBorders>
              <w:top w:val="single" w:sz="4" w:space="0" w:color="000000"/>
              <w:left w:val="nil"/>
              <w:right w:val="single" w:sz="4" w:space="0" w:color="000000"/>
            </w:tcBorders>
            <w:shd w:val="clear" w:color="auto" w:fill="auto"/>
            <w:vAlign w:val="center"/>
          </w:tcPr>
          <w:p w14:paraId="31363CF6" w14:textId="77777777" w:rsidR="002A0CBD" w:rsidRPr="0092435F" w:rsidRDefault="00C76A00" w:rsidP="00372E6F">
            <w:pPr>
              <w:pStyle w:val="Header"/>
              <w:tabs>
                <w:tab w:val="left" w:pos="7560"/>
              </w:tabs>
              <w:rPr>
                <w:rFonts w:ascii="Arial" w:hAnsi="Arial" w:cs="Arial"/>
                <w:sz w:val="24"/>
                <w:szCs w:val="24"/>
              </w:rPr>
            </w:pPr>
            <w:r>
              <w:rPr>
                <w:rFonts w:ascii="Arial" w:hAnsi="Arial" w:cs="Arial"/>
                <w:sz w:val="24"/>
                <w:szCs w:val="24"/>
              </w:rPr>
              <w:t>V1</w:t>
            </w:r>
          </w:p>
        </w:tc>
      </w:tr>
      <w:tr w:rsidR="002A0CBD" w:rsidRPr="00080B60" w14:paraId="39566010" w14:textId="77777777" w:rsidTr="00372E6F">
        <w:tc>
          <w:tcPr>
            <w:tcW w:w="1560" w:type="dxa"/>
            <w:tcBorders>
              <w:top w:val="single" w:sz="4" w:space="0" w:color="000000"/>
              <w:left w:val="single" w:sz="4" w:space="0" w:color="000000"/>
              <w:bottom w:val="single" w:sz="4" w:space="0" w:color="000000"/>
              <w:right w:val="single" w:sz="4" w:space="0" w:color="auto"/>
            </w:tcBorders>
            <w:vAlign w:val="center"/>
          </w:tcPr>
          <w:p w14:paraId="4F4938C3" w14:textId="77777777" w:rsidR="002A0CBD" w:rsidRPr="0092435F" w:rsidRDefault="002A0CBD" w:rsidP="00372E6F">
            <w:pPr>
              <w:pStyle w:val="Header"/>
              <w:tabs>
                <w:tab w:val="left" w:pos="7560"/>
              </w:tabs>
              <w:rPr>
                <w:rFonts w:ascii="Arial" w:hAnsi="Arial" w:cs="Arial"/>
                <w:sz w:val="24"/>
                <w:szCs w:val="24"/>
              </w:rPr>
            </w:pPr>
            <w:r w:rsidRPr="0092435F">
              <w:rPr>
                <w:rFonts w:ascii="Arial" w:hAnsi="Arial" w:cs="Arial"/>
                <w:sz w:val="24"/>
                <w:szCs w:val="24"/>
              </w:rPr>
              <w:t>Ref</w:t>
            </w:r>
          </w:p>
          <w:p w14:paraId="47136B81" w14:textId="77777777" w:rsidR="002A0CBD" w:rsidRPr="0092435F" w:rsidRDefault="002A0CBD" w:rsidP="00372E6F">
            <w:pPr>
              <w:pStyle w:val="Header"/>
              <w:tabs>
                <w:tab w:val="left" w:pos="7560"/>
              </w:tabs>
              <w:rPr>
                <w:rFonts w:ascii="Arial" w:hAnsi="Arial" w:cs="Arial"/>
                <w:sz w:val="24"/>
                <w:szCs w:val="24"/>
              </w:rPr>
            </w:pPr>
          </w:p>
        </w:tc>
        <w:tc>
          <w:tcPr>
            <w:tcW w:w="5811" w:type="dxa"/>
            <w:tcBorders>
              <w:top w:val="single" w:sz="4" w:space="0" w:color="000000"/>
              <w:left w:val="nil"/>
              <w:bottom w:val="single" w:sz="4" w:space="0" w:color="000000"/>
              <w:right w:val="single" w:sz="4" w:space="0" w:color="000000"/>
            </w:tcBorders>
          </w:tcPr>
          <w:p w14:paraId="4F100576" w14:textId="77777777" w:rsidR="002A0CBD" w:rsidRPr="0092435F" w:rsidRDefault="002A0CBD" w:rsidP="00080B60">
            <w:pPr>
              <w:pStyle w:val="Header"/>
              <w:tabs>
                <w:tab w:val="left" w:pos="7560"/>
              </w:tabs>
              <w:jc w:val="both"/>
              <w:rPr>
                <w:rFonts w:ascii="Arial" w:hAnsi="Arial" w:cs="Arial"/>
                <w:b/>
                <w:sz w:val="24"/>
                <w:szCs w:val="24"/>
              </w:rPr>
            </w:pPr>
          </w:p>
        </w:tc>
        <w:tc>
          <w:tcPr>
            <w:tcW w:w="1134" w:type="dxa"/>
            <w:tcBorders>
              <w:left w:val="nil"/>
              <w:right w:val="single" w:sz="4" w:space="0" w:color="000000"/>
            </w:tcBorders>
            <w:shd w:val="clear" w:color="auto" w:fill="auto"/>
            <w:vAlign w:val="center"/>
          </w:tcPr>
          <w:p w14:paraId="1E97B33B" w14:textId="77777777" w:rsidR="002A0CBD" w:rsidRPr="0092435F" w:rsidRDefault="002A0CBD" w:rsidP="00372E6F">
            <w:pPr>
              <w:pStyle w:val="Header"/>
              <w:tabs>
                <w:tab w:val="left" w:pos="7560"/>
              </w:tabs>
              <w:rPr>
                <w:rFonts w:ascii="Arial" w:hAnsi="Arial" w:cs="Arial"/>
                <w:sz w:val="24"/>
                <w:szCs w:val="24"/>
              </w:rPr>
            </w:pPr>
            <w:r w:rsidRPr="0092435F">
              <w:rPr>
                <w:rFonts w:ascii="Arial" w:hAnsi="Arial" w:cs="Arial"/>
                <w:sz w:val="24"/>
                <w:szCs w:val="24"/>
              </w:rPr>
              <w:t>Issue Date</w:t>
            </w:r>
          </w:p>
        </w:tc>
        <w:tc>
          <w:tcPr>
            <w:tcW w:w="1418" w:type="dxa"/>
            <w:tcBorders>
              <w:left w:val="nil"/>
              <w:right w:val="single" w:sz="4" w:space="0" w:color="000000"/>
            </w:tcBorders>
            <w:shd w:val="clear" w:color="auto" w:fill="auto"/>
            <w:vAlign w:val="center"/>
          </w:tcPr>
          <w:p w14:paraId="3CC3A9D0" w14:textId="77777777" w:rsidR="002A0CBD" w:rsidRPr="0092435F" w:rsidRDefault="002A0CBD" w:rsidP="00372E6F">
            <w:pPr>
              <w:pStyle w:val="Header"/>
              <w:tabs>
                <w:tab w:val="left" w:pos="7560"/>
              </w:tabs>
              <w:rPr>
                <w:rFonts w:ascii="Arial" w:hAnsi="Arial" w:cs="Arial"/>
                <w:sz w:val="24"/>
                <w:szCs w:val="24"/>
              </w:rPr>
            </w:pPr>
          </w:p>
        </w:tc>
      </w:tr>
      <w:tr w:rsidR="002A0CBD" w:rsidRPr="00080B60" w14:paraId="3BE5B740" w14:textId="77777777" w:rsidTr="00372E6F">
        <w:tc>
          <w:tcPr>
            <w:tcW w:w="1560" w:type="dxa"/>
            <w:tcBorders>
              <w:top w:val="single" w:sz="4" w:space="0" w:color="000000"/>
              <w:left w:val="single" w:sz="4" w:space="0" w:color="000000"/>
              <w:bottom w:val="single" w:sz="4" w:space="0" w:color="000000"/>
              <w:right w:val="single" w:sz="4" w:space="0" w:color="auto"/>
            </w:tcBorders>
            <w:vAlign w:val="center"/>
          </w:tcPr>
          <w:p w14:paraId="41B014F0" w14:textId="77777777" w:rsidR="002A0CBD" w:rsidRPr="0092435F" w:rsidRDefault="008411EC" w:rsidP="00372E6F">
            <w:pPr>
              <w:pStyle w:val="Header"/>
              <w:tabs>
                <w:tab w:val="left" w:pos="7560"/>
              </w:tabs>
              <w:rPr>
                <w:rFonts w:ascii="Arial" w:hAnsi="Arial" w:cs="Arial"/>
                <w:sz w:val="24"/>
                <w:szCs w:val="24"/>
              </w:rPr>
            </w:pPr>
            <w:r w:rsidRPr="0092435F">
              <w:rPr>
                <w:rFonts w:ascii="Arial" w:hAnsi="Arial" w:cs="Arial"/>
                <w:sz w:val="24"/>
                <w:szCs w:val="24"/>
              </w:rPr>
              <w:t>Lead Officer</w:t>
            </w:r>
          </w:p>
        </w:tc>
        <w:tc>
          <w:tcPr>
            <w:tcW w:w="5811" w:type="dxa"/>
            <w:tcBorders>
              <w:top w:val="single" w:sz="4" w:space="0" w:color="000000"/>
              <w:left w:val="nil"/>
              <w:bottom w:val="single" w:sz="4" w:space="0" w:color="000000"/>
              <w:right w:val="single" w:sz="4" w:space="0" w:color="000000"/>
            </w:tcBorders>
          </w:tcPr>
          <w:p w14:paraId="1B200DD6" w14:textId="77777777" w:rsidR="00DB4E00" w:rsidRDefault="00DB4E00" w:rsidP="00DB4E00">
            <w:pPr>
              <w:pStyle w:val="Header"/>
              <w:tabs>
                <w:tab w:val="left" w:pos="7560"/>
              </w:tabs>
              <w:jc w:val="center"/>
              <w:rPr>
                <w:rFonts w:ascii="Arial" w:hAnsi="Arial" w:cs="Arial"/>
                <w:b/>
                <w:sz w:val="24"/>
                <w:szCs w:val="24"/>
              </w:rPr>
            </w:pPr>
          </w:p>
          <w:p w14:paraId="37BF8BA2" w14:textId="77777777" w:rsidR="002A0CBD" w:rsidRPr="0092435F" w:rsidRDefault="00DB4E00" w:rsidP="00DB4E00">
            <w:pPr>
              <w:pStyle w:val="Header"/>
              <w:tabs>
                <w:tab w:val="left" w:pos="7560"/>
              </w:tabs>
              <w:jc w:val="center"/>
              <w:rPr>
                <w:rFonts w:ascii="Arial" w:hAnsi="Arial" w:cs="Arial"/>
                <w:b/>
                <w:sz w:val="24"/>
                <w:szCs w:val="24"/>
              </w:rPr>
            </w:pPr>
            <w:r>
              <w:rPr>
                <w:rFonts w:ascii="Arial" w:hAnsi="Arial" w:cs="Arial"/>
                <w:b/>
                <w:sz w:val="24"/>
                <w:szCs w:val="24"/>
              </w:rPr>
              <w:t>Neil Turton</w:t>
            </w:r>
          </w:p>
          <w:p w14:paraId="4A5C84DE" w14:textId="77777777" w:rsidR="002A0CBD" w:rsidRPr="0092435F" w:rsidRDefault="002A0CBD" w:rsidP="00080B60">
            <w:pPr>
              <w:pStyle w:val="Header"/>
              <w:tabs>
                <w:tab w:val="left" w:pos="7560"/>
              </w:tabs>
              <w:jc w:val="both"/>
              <w:rPr>
                <w:rFonts w:ascii="Arial" w:hAnsi="Arial" w:cs="Arial"/>
                <w:b/>
                <w:sz w:val="24"/>
                <w:szCs w:val="24"/>
              </w:rPr>
            </w:pPr>
          </w:p>
        </w:tc>
        <w:tc>
          <w:tcPr>
            <w:tcW w:w="1134" w:type="dxa"/>
            <w:tcBorders>
              <w:left w:val="nil"/>
              <w:right w:val="single" w:sz="4" w:space="0" w:color="000000"/>
            </w:tcBorders>
            <w:shd w:val="clear" w:color="auto" w:fill="auto"/>
            <w:vAlign w:val="center"/>
          </w:tcPr>
          <w:p w14:paraId="7E0A86FC" w14:textId="44FD8BD6" w:rsidR="0092435F" w:rsidRPr="0092435F" w:rsidRDefault="008411EC" w:rsidP="00372E6F">
            <w:pPr>
              <w:pStyle w:val="Header"/>
              <w:tabs>
                <w:tab w:val="left" w:pos="7560"/>
              </w:tabs>
              <w:rPr>
                <w:rFonts w:ascii="Arial" w:hAnsi="Arial" w:cs="Arial"/>
                <w:sz w:val="24"/>
                <w:szCs w:val="24"/>
              </w:rPr>
            </w:pPr>
            <w:r w:rsidRPr="0092435F">
              <w:rPr>
                <w:rFonts w:ascii="Arial" w:hAnsi="Arial" w:cs="Arial"/>
                <w:sz w:val="24"/>
                <w:szCs w:val="24"/>
              </w:rPr>
              <w:t>Review Date</w:t>
            </w:r>
          </w:p>
        </w:tc>
        <w:tc>
          <w:tcPr>
            <w:tcW w:w="1418" w:type="dxa"/>
            <w:tcBorders>
              <w:left w:val="nil"/>
              <w:right w:val="single" w:sz="4" w:space="0" w:color="000000"/>
            </w:tcBorders>
            <w:shd w:val="clear" w:color="auto" w:fill="auto"/>
            <w:vAlign w:val="center"/>
          </w:tcPr>
          <w:p w14:paraId="74E97977" w14:textId="77777777" w:rsidR="002A0CBD" w:rsidRPr="0092435F" w:rsidRDefault="002A0CBD" w:rsidP="00372E6F">
            <w:pPr>
              <w:pStyle w:val="Header"/>
              <w:tabs>
                <w:tab w:val="left" w:pos="7560"/>
              </w:tabs>
              <w:rPr>
                <w:rFonts w:ascii="Arial" w:hAnsi="Arial" w:cs="Arial"/>
                <w:b/>
                <w:sz w:val="24"/>
                <w:szCs w:val="24"/>
              </w:rPr>
            </w:pPr>
          </w:p>
        </w:tc>
      </w:tr>
      <w:tr w:rsidR="002A0CBD" w:rsidRPr="00080B60" w14:paraId="552184BD" w14:textId="77777777" w:rsidTr="00372E6F">
        <w:tc>
          <w:tcPr>
            <w:tcW w:w="1560" w:type="dxa"/>
            <w:tcBorders>
              <w:top w:val="single" w:sz="4" w:space="0" w:color="000000"/>
              <w:left w:val="single" w:sz="4" w:space="0" w:color="000000"/>
              <w:bottom w:val="single" w:sz="4" w:space="0" w:color="000000"/>
              <w:right w:val="single" w:sz="4" w:space="0" w:color="auto"/>
            </w:tcBorders>
            <w:vAlign w:val="center"/>
          </w:tcPr>
          <w:p w14:paraId="76B3F72D" w14:textId="77777777" w:rsidR="008411EC" w:rsidRPr="0092435F" w:rsidRDefault="008411EC" w:rsidP="00372E6F">
            <w:pPr>
              <w:pStyle w:val="Header"/>
              <w:tabs>
                <w:tab w:val="left" w:pos="7560"/>
              </w:tabs>
              <w:rPr>
                <w:rFonts w:ascii="Arial" w:hAnsi="Arial" w:cs="Arial"/>
                <w:sz w:val="24"/>
                <w:szCs w:val="24"/>
              </w:rPr>
            </w:pPr>
            <w:r w:rsidRPr="0092435F">
              <w:rPr>
                <w:rFonts w:ascii="Arial" w:hAnsi="Arial" w:cs="Arial"/>
                <w:sz w:val="24"/>
                <w:szCs w:val="24"/>
              </w:rPr>
              <w:t>Policy working group members</w:t>
            </w:r>
          </w:p>
        </w:tc>
        <w:tc>
          <w:tcPr>
            <w:tcW w:w="5811" w:type="dxa"/>
            <w:tcBorders>
              <w:top w:val="single" w:sz="4" w:space="0" w:color="000000"/>
              <w:left w:val="nil"/>
              <w:bottom w:val="single" w:sz="4" w:space="0" w:color="000000"/>
              <w:right w:val="single" w:sz="4" w:space="0" w:color="000000"/>
            </w:tcBorders>
            <w:vAlign w:val="center"/>
          </w:tcPr>
          <w:p w14:paraId="711E6CE2" w14:textId="77777777" w:rsidR="002A0CBD" w:rsidRPr="0092435F" w:rsidRDefault="005B3E0E" w:rsidP="00372E6F">
            <w:pPr>
              <w:pStyle w:val="Header"/>
              <w:tabs>
                <w:tab w:val="left" w:pos="7560"/>
              </w:tabs>
              <w:jc w:val="center"/>
              <w:rPr>
                <w:rFonts w:ascii="Arial" w:hAnsi="Arial" w:cs="Arial"/>
                <w:b/>
                <w:sz w:val="24"/>
                <w:szCs w:val="24"/>
              </w:rPr>
            </w:pPr>
            <w:r>
              <w:rPr>
                <w:rFonts w:ascii="Arial" w:hAnsi="Arial" w:cs="Arial"/>
                <w:b/>
                <w:sz w:val="24"/>
                <w:szCs w:val="24"/>
              </w:rPr>
              <w:t>CIG</w:t>
            </w:r>
          </w:p>
        </w:tc>
        <w:tc>
          <w:tcPr>
            <w:tcW w:w="1134" w:type="dxa"/>
            <w:tcBorders>
              <w:left w:val="nil"/>
              <w:right w:val="single" w:sz="4" w:space="0" w:color="000000"/>
            </w:tcBorders>
            <w:shd w:val="clear" w:color="auto" w:fill="auto"/>
            <w:vAlign w:val="center"/>
          </w:tcPr>
          <w:p w14:paraId="37441DE7" w14:textId="77777777" w:rsidR="002A0CBD" w:rsidRPr="0092435F" w:rsidRDefault="008411EC" w:rsidP="00372E6F">
            <w:pPr>
              <w:pStyle w:val="Header"/>
              <w:tabs>
                <w:tab w:val="left" w:pos="7560"/>
              </w:tabs>
              <w:rPr>
                <w:rFonts w:ascii="Arial" w:hAnsi="Arial" w:cs="Arial"/>
                <w:sz w:val="24"/>
                <w:szCs w:val="24"/>
              </w:rPr>
            </w:pPr>
            <w:r w:rsidRPr="0092435F">
              <w:rPr>
                <w:rFonts w:ascii="Arial" w:hAnsi="Arial" w:cs="Arial"/>
                <w:sz w:val="24"/>
                <w:szCs w:val="24"/>
              </w:rPr>
              <w:t>I/A Date</w:t>
            </w:r>
          </w:p>
        </w:tc>
        <w:tc>
          <w:tcPr>
            <w:tcW w:w="1418" w:type="dxa"/>
            <w:tcBorders>
              <w:left w:val="nil"/>
              <w:right w:val="single" w:sz="4" w:space="0" w:color="000000"/>
            </w:tcBorders>
            <w:shd w:val="clear" w:color="auto" w:fill="auto"/>
            <w:vAlign w:val="center"/>
          </w:tcPr>
          <w:p w14:paraId="4B3BEDE0" w14:textId="77777777" w:rsidR="002A0CBD" w:rsidRPr="0092435F" w:rsidRDefault="002A0CBD" w:rsidP="00372E6F">
            <w:pPr>
              <w:pStyle w:val="Header"/>
              <w:tabs>
                <w:tab w:val="left" w:pos="7560"/>
              </w:tabs>
              <w:rPr>
                <w:rFonts w:ascii="Arial" w:hAnsi="Arial" w:cs="Arial"/>
                <w:b/>
                <w:sz w:val="24"/>
                <w:szCs w:val="24"/>
              </w:rPr>
            </w:pPr>
          </w:p>
        </w:tc>
      </w:tr>
      <w:tr w:rsidR="002A0CBD" w:rsidRPr="00080B60" w14:paraId="1D1C0C91" w14:textId="77777777" w:rsidTr="00372E6F">
        <w:trPr>
          <w:trHeight w:val="70"/>
        </w:trPr>
        <w:tc>
          <w:tcPr>
            <w:tcW w:w="1560" w:type="dxa"/>
            <w:tcBorders>
              <w:top w:val="single" w:sz="4" w:space="0" w:color="000000"/>
              <w:left w:val="single" w:sz="4" w:space="0" w:color="000000"/>
              <w:bottom w:val="single" w:sz="4" w:space="0" w:color="000000"/>
              <w:right w:val="single" w:sz="4" w:space="0" w:color="auto"/>
            </w:tcBorders>
            <w:vAlign w:val="center"/>
          </w:tcPr>
          <w:p w14:paraId="01EE22C0" w14:textId="77777777" w:rsidR="002A0CBD" w:rsidRPr="0092435F" w:rsidRDefault="008411EC" w:rsidP="00372E6F">
            <w:pPr>
              <w:pStyle w:val="Header"/>
              <w:tabs>
                <w:tab w:val="left" w:pos="7560"/>
              </w:tabs>
              <w:rPr>
                <w:rFonts w:ascii="Arial" w:hAnsi="Arial" w:cs="Arial"/>
                <w:sz w:val="24"/>
                <w:szCs w:val="24"/>
              </w:rPr>
            </w:pPr>
            <w:r w:rsidRPr="0092435F">
              <w:rPr>
                <w:rFonts w:ascii="Arial" w:hAnsi="Arial" w:cs="Arial"/>
                <w:sz w:val="24"/>
                <w:szCs w:val="24"/>
              </w:rPr>
              <w:t>Approved by</w:t>
            </w:r>
          </w:p>
        </w:tc>
        <w:tc>
          <w:tcPr>
            <w:tcW w:w="5811" w:type="dxa"/>
            <w:tcBorders>
              <w:top w:val="single" w:sz="4" w:space="0" w:color="000000"/>
              <w:left w:val="nil"/>
              <w:bottom w:val="single" w:sz="4" w:space="0" w:color="000000"/>
              <w:right w:val="single" w:sz="4" w:space="0" w:color="000000"/>
            </w:tcBorders>
          </w:tcPr>
          <w:p w14:paraId="27B7DC4B" w14:textId="77777777" w:rsidR="002A0CBD" w:rsidRPr="0092435F" w:rsidRDefault="002A0CBD" w:rsidP="00080B60">
            <w:pPr>
              <w:pStyle w:val="Header"/>
              <w:tabs>
                <w:tab w:val="left" w:pos="7560"/>
              </w:tabs>
              <w:jc w:val="both"/>
              <w:rPr>
                <w:rFonts w:ascii="Arial" w:hAnsi="Arial" w:cs="Arial"/>
                <w:b/>
                <w:sz w:val="24"/>
                <w:szCs w:val="24"/>
              </w:rPr>
            </w:pPr>
          </w:p>
        </w:tc>
        <w:tc>
          <w:tcPr>
            <w:tcW w:w="1134" w:type="dxa"/>
            <w:tcBorders>
              <w:left w:val="nil"/>
              <w:bottom w:val="single" w:sz="4" w:space="0" w:color="000000"/>
              <w:right w:val="single" w:sz="4" w:space="0" w:color="000000"/>
            </w:tcBorders>
            <w:shd w:val="clear" w:color="auto" w:fill="auto"/>
            <w:vAlign w:val="center"/>
          </w:tcPr>
          <w:p w14:paraId="538AFA18" w14:textId="77777777" w:rsidR="002A0CBD" w:rsidRPr="0092435F" w:rsidRDefault="008411EC" w:rsidP="00372E6F">
            <w:pPr>
              <w:pStyle w:val="Header"/>
              <w:tabs>
                <w:tab w:val="left" w:pos="7560"/>
              </w:tabs>
              <w:rPr>
                <w:rFonts w:ascii="Arial" w:hAnsi="Arial" w:cs="Arial"/>
                <w:sz w:val="24"/>
                <w:szCs w:val="24"/>
              </w:rPr>
            </w:pPr>
            <w:r w:rsidRPr="0092435F">
              <w:rPr>
                <w:rFonts w:ascii="Arial" w:hAnsi="Arial" w:cs="Arial"/>
                <w:sz w:val="24"/>
                <w:szCs w:val="24"/>
              </w:rPr>
              <w:t>I/A Review Date</w:t>
            </w:r>
          </w:p>
        </w:tc>
        <w:tc>
          <w:tcPr>
            <w:tcW w:w="1418" w:type="dxa"/>
            <w:tcBorders>
              <w:left w:val="nil"/>
              <w:bottom w:val="single" w:sz="4" w:space="0" w:color="000000"/>
              <w:right w:val="single" w:sz="4" w:space="0" w:color="000000"/>
            </w:tcBorders>
            <w:shd w:val="clear" w:color="auto" w:fill="auto"/>
            <w:vAlign w:val="center"/>
          </w:tcPr>
          <w:p w14:paraId="15A95B30" w14:textId="77777777" w:rsidR="002A0CBD" w:rsidRPr="0092435F" w:rsidRDefault="002A0CBD" w:rsidP="00372E6F">
            <w:pPr>
              <w:pStyle w:val="Header"/>
              <w:tabs>
                <w:tab w:val="left" w:pos="7560"/>
              </w:tabs>
              <w:rPr>
                <w:rFonts w:ascii="Arial" w:hAnsi="Arial" w:cs="Arial"/>
                <w:b/>
                <w:sz w:val="24"/>
                <w:szCs w:val="24"/>
              </w:rPr>
            </w:pPr>
          </w:p>
        </w:tc>
      </w:tr>
    </w:tbl>
    <w:p w14:paraId="581ADF21" w14:textId="77777777" w:rsidR="00080B60" w:rsidRPr="00080B60" w:rsidRDefault="00080B60" w:rsidP="00080B60">
      <w:pPr>
        <w:jc w:val="both"/>
        <w:rPr>
          <w:rFonts w:ascii="Arial" w:hAnsi="Arial" w:cs="Arial"/>
          <w:b/>
        </w:rPr>
      </w:pPr>
    </w:p>
    <w:p w14:paraId="19EEE7A2" w14:textId="77777777" w:rsidR="00080B60" w:rsidRPr="00080B60" w:rsidRDefault="00080B60" w:rsidP="00080B60">
      <w:pPr>
        <w:jc w:val="both"/>
        <w:rPr>
          <w:rFonts w:ascii="Arial" w:hAnsi="Arial" w:cs="Arial"/>
          <w:b/>
        </w:rPr>
      </w:pPr>
    </w:p>
    <w:p w14:paraId="7D38E1E1" w14:textId="77777777" w:rsidR="00080B60" w:rsidRPr="0092435F" w:rsidRDefault="00080B60" w:rsidP="00080B60">
      <w:pPr>
        <w:jc w:val="both"/>
        <w:rPr>
          <w:rFonts w:ascii="Arial" w:hAnsi="Arial" w:cs="Arial"/>
          <w:b/>
          <w:sz w:val="24"/>
          <w:szCs w:val="24"/>
        </w:rPr>
      </w:pPr>
      <w:r w:rsidRPr="0092435F">
        <w:rPr>
          <w:rFonts w:ascii="Arial" w:hAnsi="Arial" w:cs="Arial"/>
          <w:b/>
          <w:sz w:val="24"/>
          <w:szCs w:val="24"/>
        </w:rPr>
        <w:t>Purpose</w:t>
      </w:r>
    </w:p>
    <w:p w14:paraId="0A3E5F24" w14:textId="77777777" w:rsidR="00080B60" w:rsidRDefault="00D56952" w:rsidP="00080B60">
      <w:pPr>
        <w:jc w:val="both"/>
        <w:rPr>
          <w:rFonts w:ascii="Arial" w:hAnsi="Arial" w:cs="Arial"/>
          <w:sz w:val="24"/>
          <w:szCs w:val="24"/>
        </w:rPr>
      </w:pPr>
      <w:r w:rsidRPr="00D56952">
        <w:rPr>
          <w:rFonts w:ascii="Arial" w:hAnsi="Arial" w:cs="Arial"/>
          <w:sz w:val="24"/>
          <w:szCs w:val="24"/>
        </w:rPr>
        <w:t xml:space="preserve">This policy sets out the principles and approach to </w:t>
      </w:r>
      <w:r>
        <w:rPr>
          <w:rFonts w:ascii="Arial" w:hAnsi="Arial" w:cs="Arial"/>
          <w:sz w:val="24"/>
          <w:szCs w:val="24"/>
        </w:rPr>
        <w:t xml:space="preserve">be taken in making sure that rent and </w:t>
      </w:r>
      <w:r w:rsidR="00C62FFF">
        <w:rPr>
          <w:rFonts w:ascii="Arial" w:hAnsi="Arial" w:cs="Arial"/>
          <w:sz w:val="24"/>
          <w:szCs w:val="24"/>
        </w:rPr>
        <w:t>tenancy</w:t>
      </w:r>
      <w:r>
        <w:rPr>
          <w:rFonts w:ascii="Arial" w:hAnsi="Arial" w:cs="Arial"/>
          <w:sz w:val="24"/>
          <w:szCs w:val="24"/>
        </w:rPr>
        <w:t xml:space="preserve"> charge payments are collected, that arrears are prevented whenever possible and are reduced and repaid when they do arise</w:t>
      </w:r>
      <w:r w:rsidR="0048290D">
        <w:rPr>
          <w:rFonts w:ascii="Arial" w:hAnsi="Arial" w:cs="Arial"/>
          <w:sz w:val="24"/>
          <w:szCs w:val="24"/>
        </w:rPr>
        <w:t>.</w:t>
      </w:r>
    </w:p>
    <w:p w14:paraId="15D498DC" w14:textId="77777777" w:rsidR="00B849AB" w:rsidRDefault="00B849AB" w:rsidP="00080B60">
      <w:pPr>
        <w:jc w:val="both"/>
        <w:rPr>
          <w:rFonts w:ascii="Arial" w:hAnsi="Arial" w:cs="Arial"/>
          <w:sz w:val="24"/>
          <w:szCs w:val="24"/>
        </w:rPr>
      </w:pPr>
    </w:p>
    <w:p w14:paraId="17F8ECEB" w14:textId="77777777" w:rsidR="00B849AB" w:rsidRDefault="00B849AB" w:rsidP="00080B60">
      <w:pPr>
        <w:jc w:val="both"/>
        <w:rPr>
          <w:rFonts w:ascii="Arial" w:hAnsi="Arial" w:cs="Arial"/>
          <w:sz w:val="24"/>
          <w:szCs w:val="24"/>
        </w:rPr>
      </w:pPr>
      <w:r>
        <w:rPr>
          <w:rFonts w:ascii="Arial" w:hAnsi="Arial" w:cs="Arial"/>
          <w:sz w:val="24"/>
          <w:szCs w:val="24"/>
        </w:rPr>
        <w:t>The specific objectives of the rent arrears policy are:</w:t>
      </w:r>
    </w:p>
    <w:p w14:paraId="43A5A14D" w14:textId="77777777" w:rsidR="00B849AB" w:rsidRDefault="00B849AB" w:rsidP="00080B60">
      <w:pPr>
        <w:jc w:val="both"/>
        <w:rPr>
          <w:rFonts w:ascii="Arial" w:hAnsi="Arial" w:cs="Arial"/>
          <w:sz w:val="24"/>
          <w:szCs w:val="24"/>
        </w:rPr>
      </w:pPr>
    </w:p>
    <w:p w14:paraId="4429EE13" w14:textId="77777777" w:rsidR="00E42671" w:rsidRDefault="008A1194" w:rsidP="00E42671">
      <w:pPr>
        <w:numPr>
          <w:ilvl w:val="0"/>
          <w:numId w:val="16"/>
        </w:numPr>
        <w:jc w:val="both"/>
        <w:rPr>
          <w:rFonts w:ascii="Arial" w:hAnsi="Arial" w:cs="Arial"/>
          <w:sz w:val="24"/>
          <w:szCs w:val="24"/>
        </w:rPr>
      </w:pPr>
      <w:r>
        <w:rPr>
          <w:rFonts w:ascii="Arial" w:hAnsi="Arial" w:cs="Arial"/>
          <w:sz w:val="24"/>
          <w:szCs w:val="24"/>
        </w:rPr>
        <w:t xml:space="preserve">To create a culture where tenants attach a high level of importance to ensuring their </w:t>
      </w:r>
      <w:proofErr w:type="gramStart"/>
      <w:r>
        <w:rPr>
          <w:rFonts w:ascii="Arial" w:hAnsi="Arial" w:cs="Arial"/>
          <w:sz w:val="24"/>
          <w:szCs w:val="24"/>
        </w:rPr>
        <w:t xml:space="preserve">rent </w:t>
      </w:r>
      <w:r w:rsidR="00C62FFF">
        <w:rPr>
          <w:rFonts w:ascii="Arial" w:hAnsi="Arial" w:cs="Arial"/>
          <w:sz w:val="24"/>
          <w:szCs w:val="24"/>
        </w:rPr>
        <w:t xml:space="preserve"> and</w:t>
      </w:r>
      <w:proofErr w:type="gramEnd"/>
      <w:r w:rsidR="00C62FFF">
        <w:rPr>
          <w:rFonts w:ascii="Arial" w:hAnsi="Arial" w:cs="Arial"/>
          <w:sz w:val="24"/>
          <w:szCs w:val="24"/>
        </w:rPr>
        <w:t xml:space="preserve"> tenancy charges are</w:t>
      </w:r>
      <w:r>
        <w:rPr>
          <w:rFonts w:ascii="Arial" w:hAnsi="Arial" w:cs="Arial"/>
          <w:sz w:val="24"/>
          <w:szCs w:val="24"/>
        </w:rPr>
        <w:t xml:space="preserve"> paid</w:t>
      </w:r>
    </w:p>
    <w:p w14:paraId="179F2659" w14:textId="77777777" w:rsidR="00B849AB" w:rsidRDefault="008C7C54" w:rsidP="00B849AB">
      <w:pPr>
        <w:numPr>
          <w:ilvl w:val="0"/>
          <w:numId w:val="16"/>
        </w:numPr>
        <w:jc w:val="both"/>
        <w:rPr>
          <w:rFonts w:ascii="Arial" w:hAnsi="Arial" w:cs="Arial"/>
          <w:sz w:val="24"/>
          <w:szCs w:val="24"/>
        </w:rPr>
      </w:pPr>
      <w:r>
        <w:rPr>
          <w:rFonts w:ascii="Arial" w:hAnsi="Arial" w:cs="Arial"/>
          <w:sz w:val="24"/>
          <w:szCs w:val="24"/>
        </w:rPr>
        <w:t xml:space="preserve">To take a proactive approach </w:t>
      </w:r>
      <w:r w:rsidR="007E18C9">
        <w:rPr>
          <w:rFonts w:ascii="Arial" w:hAnsi="Arial" w:cs="Arial"/>
          <w:sz w:val="24"/>
          <w:szCs w:val="24"/>
        </w:rPr>
        <w:t>to preventing arrears where possible</w:t>
      </w:r>
    </w:p>
    <w:p w14:paraId="4F8ED6D5" w14:textId="77777777" w:rsidR="007E18C9" w:rsidRDefault="003C1FFA" w:rsidP="00B849AB">
      <w:pPr>
        <w:numPr>
          <w:ilvl w:val="0"/>
          <w:numId w:val="16"/>
        </w:numPr>
        <w:jc w:val="both"/>
        <w:rPr>
          <w:rFonts w:ascii="Arial" w:hAnsi="Arial" w:cs="Arial"/>
          <w:sz w:val="24"/>
          <w:szCs w:val="24"/>
        </w:rPr>
      </w:pPr>
      <w:r>
        <w:rPr>
          <w:rFonts w:ascii="Arial" w:hAnsi="Arial" w:cs="Arial"/>
          <w:sz w:val="24"/>
          <w:szCs w:val="24"/>
        </w:rPr>
        <w:t>To p</w:t>
      </w:r>
      <w:r w:rsidR="00E42671">
        <w:rPr>
          <w:rFonts w:ascii="Arial" w:hAnsi="Arial" w:cs="Arial"/>
          <w:sz w:val="24"/>
          <w:szCs w:val="24"/>
        </w:rPr>
        <w:t xml:space="preserve">rovide tailored advice and support to those tenants that find themselves in </w:t>
      </w:r>
      <w:proofErr w:type="gramStart"/>
      <w:r w:rsidR="00E42671">
        <w:rPr>
          <w:rFonts w:ascii="Arial" w:hAnsi="Arial" w:cs="Arial"/>
          <w:sz w:val="24"/>
          <w:szCs w:val="24"/>
        </w:rPr>
        <w:t>arrears</w:t>
      </w:r>
      <w:proofErr w:type="gramEnd"/>
    </w:p>
    <w:p w14:paraId="35D4938E" w14:textId="77777777" w:rsidR="00D31E97" w:rsidRDefault="003C1FFA" w:rsidP="00B849AB">
      <w:pPr>
        <w:numPr>
          <w:ilvl w:val="0"/>
          <w:numId w:val="16"/>
        </w:numPr>
        <w:jc w:val="both"/>
        <w:rPr>
          <w:rFonts w:ascii="Arial" w:hAnsi="Arial" w:cs="Arial"/>
          <w:sz w:val="24"/>
          <w:szCs w:val="24"/>
        </w:rPr>
      </w:pPr>
      <w:r>
        <w:rPr>
          <w:rFonts w:ascii="Arial" w:hAnsi="Arial" w:cs="Arial"/>
          <w:sz w:val="24"/>
          <w:szCs w:val="24"/>
        </w:rPr>
        <w:t>To t</w:t>
      </w:r>
      <w:r w:rsidR="00312A49">
        <w:rPr>
          <w:rFonts w:ascii="Arial" w:hAnsi="Arial" w:cs="Arial"/>
          <w:sz w:val="24"/>
          <w:szCs w:val="24"/>
        </w:rPr>
        <w:t>ake appropriate</w:t>
      </w:r>
      <w:r w:rsidR="00B25C65">
        <w:rPr>
          <w:rFonts w:ascii="Arial" w:hAnsi="Arial" w:cs="Arial"/>
          <w:sz w:val="24"/>
          <w:szCs w:val="24"/>
        </w:rPr>
        <w:t xml:space="preserve"> and timely</w:t>
      </w:r>
      <w:r w:rsidR="00312A49">
        <w:rPr>
          <w:rFonts w:ascii="Arial" w:hAnsi="Arial" w:cs="Arial"/>
          <w:sz w:val="24"/>
          <w:szCs w:val="24"/>
        </w:rPr>
        <w:t xml:space="preserve"> action </w:t>
      </w:r>
      <w:r w:rsidR="00390BE2">
        <w:rPr>
          <w:rFonts w:ascii="Arial" w:hAnsi="Arial" w:cs="Arial"/>
          <w:sz w:val="24"/>
          <w:szCs w:val="24"/>
        </w:rPr>
        <w:t xml:space="preserve">to recover outstanding </w:t>
      </w:r>
      <w:proofErr w:type="gramStart"/>
      <w:r w:rsidR="00390BE2">
        <w:rPr>
          <w:rFonts w:ascii="Arial" w:hAnsi="Arial" w:cs="Arial"/>
          <w:sz w:val="24"/>
          <w:szCs w:val="24"/>
        </w:rPr>
        <w:t>arrears</w:t>
      </w:r>
      <w:proofErr w:type="gramEnd"/>
    </w:p>
    <w:p w14:paraId="372D70D3" w14:textId="77777777" w:rsidR="003C1FFA" w:rsidRDefault="003C1FFA" w:rsidP="00B849AB">
      <w:pPr>
        <w:numPr>
          <w:ilvl w:val="0"/>
          <w:numId w:val="16"/>
        </w:numPr>
        <w:jc w:val="both"/>
        <w:rPr>
          <w:rFonts w:ascii="Arial" w:hAnsi="Arial" w:cs="Arial"/>
          <w:sz w:val="24"/>
          <w:szCs w:val="24"/>
        </w:rPr>
      </w:pPr>
      <w:r>
        <w:rPr>
          <w:rFonts w:ascii="Arial" w:hAnsi="Arial" w:cs="Arial"/>
          <w:sz w:val="24"/>
          <w:szCs w:val="24"/>
        </w:rPr>
        <w:t>To use eviction as a last resort and only w</w:t>
      </w:r>
      <w:r w:rsidR="00830955">
        <w:rPr>
          <w:rFonts w:ascii="Arial" w:hAnsi="Arial" w:cs="Arial"/>
          <w:sz w:val="24"/>
          <w:szCs w:val="24"/>
        </w:rPr>
        <w:t>here the tenant has failed to engage or make any consistent effort to pay their rent</w:t>
      </w:r>
      <w:r w:rsidR="00491677">
        <w:rPr>
          <w:rFonts w:ascii="Arial" w:hAnsi="Arial" w:cs="Arial"/>
          <w:sz w:val="24"/>
          <w:szCs w:val="24"/>
        </w:rPr>
        <w:t xml:space="preserve"> and tenancy charges</w:t>
      </w:r>
      <w:r w:rsidR="00830955">
        <w:rPr>
          <w:rFonts w:ascii="Arial" w:hAnsi="Arial" w:cs="Arial"/>
          <w:sz w:val="24"/>
          <w:szCs w:val="24"/>
        </w:rPr>
        <w:t xml:space="preserve"> and </w:t>
      </w:r>
      <w:r w:rsidR="00CA1FCD">
        <w:rPr>
          <w:rFonts w:ascii="Arial" w:hAnsi="Arial" w:cs="Arial"/>
          <w:sz w:val="24"/>
          <w:szCs w:val="24"/>
        </w:rPr>
        <w:t xml:space="preserve">outstanding </w:t>
      </w:r>
      <w:r w:rsidR="00830955">
        <w:rPr>
          <w:rFonts w:ascii="Arial" w:hAnsi="Arial" w:cs="Arial"/>
          <w:sz w:val="24"/>
          <w:szCs w:val="24"/>
        </w:rPr>
        <w:t>arrears.</w:t>
      </w:r>
    </w:p>
    <w:p w14:paraId="654E1801" w14:textId="77777777" w:rsidR="00031710" w:rsidRDefault="00031710" w:rsidP="00080B60">
      <w:pPr>
        <w:jc w:val="both"/>
        <w:rPr>
          <w:rFonts w:ascii="Arial" w:hAnsi="Arial" w:cs="Arial"/>
          <w:sz w:val="24"/>
          <w:szCs w:val="24"/>
        </w:rPr>
      </w:pPr>
    </w:p>
    <w:p w14:paraId="7FFBD7E5" w14:textId="77777777" w:rsidR="00B25C65" w:rsidRDefault="00B25C65" w:rsidP="00080B60">
      <w:pPr>
        <w:jc w:val="both"/>
        <w:rPr>
          <w:rFonts w:ascii="Arial" w:hAnsi="Arial" w:cs="Arial"/>
          <w:sz w:val="24"/>
          <w:szCs w:val="24"/>
        </w:rPr>
      </w:pPr>
    </w:p>
    <w:p w14:paraId="139E2218" w14:textId="77777777" w:rsidR="00372E6F" w:rsidRDefault="00080B60" w:rsidP="00080B60">
      <w:pPr>
        <w:jc w:val="both"/>
        <w:rPr>
          <w:rFonts w:ascii="Arial" w:hAnsi="Arial" w:cs="Arial"/>
          <w:sz w:val="24"/>
          <w:szCs w:val="24"/>
        </w:rPr>
      </w:pPr>
      <w:r w:rsidRPr="0092435F">
        <w:rPr>
          <w:rFonts w:ascii="Arial" w:hAnsi="Arial" w:cs="Arial"/>
          <w:sz w:val="24"/>
          <w:szCs w:val="24"/>
        </w:rPr>
        <w:tab/>
      </w:r>
      <w:r w:rsidRPr="0092435F">
        <w:rPr>
          <w:rFonts w:ascii="Arial" w:hAnsi="Arial" w:cs="Arial"/>
          <w:sz w:val="24"/>
          <w:szCs w:val="24"/>
        </w:rPr>
        <w:tab/>
      </w:r>
    </w:p>
    <w:p w14:paraId="7B965DDB" w14:textId="521891CC" w:rsidR="00080B60" w:rsidRPr="0092435F" w:rsidRDefault="00080B60" w:rsidP="00080B60">
      <w:pPr>
        <w:jc w:val="both"/>
        <w:rPr>
          <w:rFonts w:ascii="Arial" w:hAnsi="Arial" w:cs="Arial"/>
          <w:sz w:val="24"/>
          <w:szCs w:val="24"/>
        </w:rPr>
      </w:pPr>
      <w:r w:rsidRPr="0092435F">
        <w:rPr>
          <w:rFonts w:ascii="Arial" w:hAnsi="Arial" w:cs="Arial"/>
          <w:sz w:val="24"/>
          <w:szCs w:val="24"/>
        </w:rPr>
        <w:tab/>
      </w:r>
      <w:r w:rsidRPr="0092435F">
        <w:rPr>
          <w:rFonts w:ascii="Arial" w:hAnsi="Arial" w:cs="Arial"/>
          <w:sz w:val="24"/>
          <w:szCs w:val="24"/>
        </w:rPr>
        <w:tab/>
      </w:r>
      <w:r w:rsidRPr="0092435F">
        <w:rPr>
          <w:rFonts w:ascii="Arial" w:hAnsi="Arial" w:cs="Arial"/>
          <w:sz w:val="24"/>
          <w:szCs w:val="24"/>
        </w:rPr>
        <w:tab/>
      </w:r>
      <w:r w:rsidRPr="0092435F">
        <w:rPr>
          <w:rFonts w:ascii="Arial" w:hAnsi="Arial" w:cs="Arial"/>
          <w:sz w:val="24"/>
          <w:szCs w:val="24"/>
        </w:rPr>
        <w:tab/>
      </w:r>
    </w:p>
    <w:p w14:paraId="529B8987" w14:textId="77777777" w:rsidR="005A0605" w:rsidRDefault="005A0605" w:rsidP="00080B60">
      <w:pPr>
        <w:jc w:val="both"/>
        <w:rPr>
          <w:rFonts w:ascii="Arial" w:hAnsi="Arial" w:cs="Arial"/>
          <w:b/>
          <w:sz w:val="24"/>
          <w:szCs w:val="24"/>
        </w:rPr>
      </w:pPr>
    </w:p>
    <w:p w14:paraId="33F7DA55" w14:textId="77777777" w:rsidR="00080B60" w:rsidRPr="0092435F" w:rsidRDefault="00080B60" w:rsidP="00080B60">
      <w:pPr>
        <w:jc w:val="both"/>
        <w:rPr>
          <w:rFonts w:ascii="Arial" w:hAnsi="Arial" w:cs="Arial"/>
          <w:b/>
          <w:sz w:val="24"/>
          <w:szCs w:val="24"/>
        </w:rPr>
      </w:pPr>
      <w:r w:rsidRPr="0092435F">
        <w:rPr>
          <w:rFonts w:ascii="Arial" w:hAnsi="Arial" w:cs="Arial"/>
          <w:b/>
          <w:sz w:val="24"/>
          <w:szCs w:val="24"/>
        </w:rPr>
        <w:lastRenderedPageBreak/>
        <w:t>References</w:t>
      </w:r>
      <w:r w:rsidRPr="0092435F">
        <w:rPr>
          <w:rFonts w:ascii="Arial" w:hAnsi="Arial" w:cs="Arial"/>
          <w:b/>
          <w:sz w:val="24"/>
          <w:szCs w:val="24"/>
        </w:rPr>
        <w:tab/>
      </w:r>
    </w:p>
    <w:p w14:paraId="467FC3FF" w14:textId="77777777" w:rsidR="005A2F14" w:rsidRDefault="005A2F14" w:rsidP="005A2F14">
      <w:pPr>
        <w:jc w:val="both"/>
        <w:rPr>
          <w:rFonts w:ascii="Arial" w:hAnsi="Arial" w:cs="Arial"/>
          <w:sz w:val="24"/>
          <w:szCs w:val="24"/>
        </w:rPr>
      </w:pPr>
      <w:r>
        <w:rPr>
          <w:rFonts w:ascii="Arial" w:hAnsi="Arial" w:cs="Arial"/>
          <w:sz w:val="24"/>
          <w:szCs w:val="24"/>
        </w:rPr>
        <w:t>When considering this policy, references should also be made to:</w:t>
      </w:r>
    </w:p>
    <w:p w14:paraId="2E8EF4AA" w14:textId="77777777" w:rsidR="00080B60" w:rsidRDefault="00080B60" w:rsidP="00080B60">
      <w:pPr>
        <w:jc w:val="both"/>
        <w:rPr>
          <w:rFonts w:ascii="Arial" w:hAnsi="Arial" w:cs="Arial"/>
          <w:b/>
          <w:sz w:val="24"/>
          <w:szCs w:val="24"/>
        </w:rPr>
      </w:pPr>
    </w:p>
    <w:p w14:paraId="3D4CEE3B" w14:textId="77777777" w:rsidR="0057523F" w:rsidRDefault="00371196" w:rsidP="00080B60">
      <w:pPr>
        <w:jc w:val="both"/>
        <w:rPr>
          <w:rFonts w:ascii="Arial" w:hAnsi="Arial" w:cs="Arial"/>
          <w:sz w:val="24"/>
          <w:szCs w:val="24"/>
        </w:rPr>
      </w:pPr>
      <w:r w:rsidRPr="00371196">
        <w:rPr>
          <w:rFonts w:ascii="Arial" w:hAnsi="Arial" w:cs="Arial"/>
          <w:sz w:val="24"/>
          <w:szCs w:val="24"/>
        </w:rPr>
        <w:t>Corporate plan priority</w:t>
      </w:r>
      <w:r w:rsidR="0057523F">
        <w:rPr>
          <w:rFonts w:ascii="Arial" w:hAnsi="Arial" w:cs="Arial"/>
          <w:sz w:val="24"/>
          <w:szCs w:val="24"/>
        </w:rPr>
        <w:t xml:space="preserve"> </w:t>
      </w:r>
    </w:p>
    <w:p w14:paraId="4B5C2A6B" w14:textId="77777777" w:rsidR="0057523F" w:rsidRDefault="0057523F" w:rsidP="00080B60">
      <w:pPr>
        <w:jc w:val="both"/>
        <w:rPr>
          <w:rFonts w:ascii="Arial" w:hAnsi="Arial" w:cs="Arial"/>
          <w:sz w:val="24"/>
          <w:szCs w:val="24"/>
        </w:rPr>
      </w:pPr>
    </w:p>
    <w:p w14:paraId="29D434AC" w14:textId="77777777" w:rsidR="000E6A69" w:rsidRDefault="0086768D" w:rsidP="00080B60">
      <w:pPr>
        <w:jc w:val="both"/>
        <w:rPr>
          <w:rFonts w:ascii="Arial" w:hAnsi="Arial" w:cs="Arial"/>
          <w:sz w:val="24"/>
          <w:szCs w:val="24"/>
        </w:rPr>
      </w:pPr>
      <w:r>
        <w:rPr>
          <w:rFonts w:ascii="Arial" w:hAnsi="Arial" w:cs="Arial"/>
          <w:sz w:val="24"/>
          <w:szCs w:val="24"/>
        </w:rPr>
        <w:t>“</w:t>
      </w:r>
      <w:r w:rsidR="00371196" w:rsidRPr="00856259">
        <w:rPr>
          <w:rFonts w:ascii="Arial" w:hAnsi="Arial" w:cs="Arial"/>
          <w:sz w:val="24"/>
          <w:szCs w:val="24"/>
        </w:rPr>
        <w:t>Housing – ensuring there is an adequate supply of good quality, well managed housing which is accessible and affordable to those who need it</w:t>
      </w:r>
      <w:r>
        <w:rPr>
          <w:rFonts w:ascii="Arial" w:hAnsi="Arial" w:cs="Arial"/>
          <w:sz w:val="24"/>
          <w:szCs w:val="24"/>
        </w:rPr>
        <w:t>”.</w:t>
      </w:r>
    </w:p>
    <w:p w14:paraId="4CF5703E" w14:textId="77777777" w:rsidR="0057523F" w:rsidRDefault="0057523F" w:rsidP="00080B60">
      <w:pPr>
        <w:jc w:val="both"/>
        <w:rPr>
          <w:rFonts w:ascii="Arial" w:hAnsi="Arial" w:cs="Arial"/>
          <w:sz w:val="24"/>
          <w:szCs w:val="24"/>
        </w:rPr>
      </w:pPr>
    </w:p>
    <w:p w14:paraId="7EDFD87B" w14:textId="77777777" w:rsidR="0057523F" w:rsidRPr="0086768D" w:rsidRDefault="0086768D" w:rsidP="0057523F">
      <w:pPr>
        <w:overflowPunct/>
        <w:autoSpaceDE/>
        <w:autoSpaceDN/>
        <w:adjustRightInd/>
        <w:textAlignment w:val="auto"/>
        <w:rPr>
          <w:rFonts w:ascii="Arial" w:hAnsi="Arial" w:cs="Arial"/>
          <w:sz w:val="24"/>
          <w:szCs w:val="24"/>
        </w:rPr>
      </w:pPr>
      <w:r>
        <w:rPr>
          <w:rFonts w:ascii="Arial" w:hAnsi="Arial" w:cs="Arial"/>
          <w:sz w:val="24"/>
          <w:szCs w:val="24"/>
        </w:rPr>
        <w:t>“</w:t>
      </w:r>
      <w:r w:rsidR="0057523F" w:rsidRPr="0086768D">
        <w:rPr>
          <w:rFonts w:ascii="Arial" w:hAnsi="Arial" w:cs="Arial"/>
          <w:sz w:val="24"/>
          <w:szCs w:val="24"/>
        </w:rPr>
        <w:t>Vulnerable people – supporting the most vulnerable people in our district to help them live independent and fulfilled lives</w:t>
      </w:r>
      <w:r>
        <w:rPr>
          <w:rFonts w:ascii="Arial" w:hAnsi="Arial" w:cs="Arial"/>
          <w:sz w:val="24"/>
          <w:szCs w:val="24"/>
        </w:rPr>
        <w:t>”.</w:t>
      </w:r>
    </w:p>
    <w:p w14:paraId="6C80DE57" w14:textId="77777777" w:rsidR="00080B60" w:rsidRPr="0092435F" w:rsidRDefault="00080B60" w:rsidP="002A7A0B">
      <w:pPr>
        <w:jc w:val="both"/>
        <w:rPr>
          <w:rFonts w:ascii="Arial" w:hAnsi="Arial" w:cs="Arial"/>
          <w:sz w:val="24"/>
          <w:szCs w:val="24"/>
        </w:rPr>
      </w:pPr>
    </w:p>
    <w:p w14:paraId="26DEB2F5" w14:textId="77777777" w:rsidR="00080B60" w:rsidRPr="0092435F" w:rsidRDefault="00080B60" w:rsidP="00080B60">
      <w:pPr>
        <w:jc w:val="both"/>
        <w:rPr>
          <w:rFonts w:ascii="Arial" w:hAnsi="Arial" w:cs="Arial"/>
          <w:sz w:val="24"/>
          <w:szCs w:val="24"/>
        </w:rPr>
      </w:pPr>
      <w:r w:rsidRPr="0092435F">
        <w:rPr>
          <w:rFonts w:ascii="Arial" w:hAnsi="Arial" w:cs="Arial"/>
          <w:b/>
          <w:sz w:val="24"/>
          <w:szCs w:val="24"/>
        </w:rPr>
        <w:t>Legal Framework</w:t>
      </w:r>
      <w:r w:rsidRPr="0092435F">
        <w:rPr>
          <w:rFonts w:ascii="Arial" w:hAnsi="Arial" w:cs="Arial"/>
          <w:sz w:val="24"/>
          <w:szCs w:val="24"/>
        </w:rPr>
        <w:tab/>
      </w:r>
    </w:p>
    <w:p w14:paraId="1079A8AF" w14:textId="77777777" w:rsidR="00080B60" w:rsidRDefault="001F692C" w:rsidP="00080B60">
      <w:pPr>
        <w:jc w:val="both"/>
        <w:rPr>
          <w:rFonts w:ascii="Arial" w:hAnsi="Arial" w:cs="Arial"/>
          <w:sz w:val="24"/>
          <w:szCs w:val="24"/>
        </w:rPr>
      </w:pPr>
      <w:r>
        <w:rPr>
          <w:rFonts w:ascii="Arial" w:hAnsi="Arial" w:cs="Arial"/>
          <w:sz w:val="24"/>
          <w:szCs w:val="24"/>
        </w:rPr>
        <w:t xml:space="preserve">Mansfield District Council will ensure that the rent arrears policy meets legislative and good practice requirements to </w:t>
      </w:r>
      <w:r w:rsidR="000F50A6">
        <w:rPr>
          <w:rFonts w:ascii="Arial" w:hAnsi="Arial" w:cs="Arial"/>
          <w:sz w:val="24"/>
          <w:szCs w:val="24"/>
        </w:rPr>
        <w:t>maximise</w:t>
      </w:r>
      <w:r>
        <w:rPr>
          <w:rFonts w:ascii="Arial" w:hAnsi="Arial" w:cs="Arial"/>
          <w:sz w:val="24"/>
          <w:szCs w:val="24"/>
        </w:rPr>
        <w:t xml:space="preserve"> income collection and minimise rent arrears</w:t>
      </w:r>
      <w:r w:rsidR="007265F0">
        <w:rPr>
          <w:rFonts w:ascii="Arial" w:hAnsi="Arial" w:cs="Arial"/>
          <w:sz w:val="24"/>
          <w:szCs w:val="24"/>
        </w:rPr>
        <w:t xml:space="preserve"> including:</w:t>
      </w:r>
    </w:p>
    <w:p w14:paraId="2648F50D" w14:textId="77777777" w:rsidR="007265F0" w:rsidRDefault="007265F0" w:rsidP="00080B60">
      <w:pPr>
        <w:jc w:val="both"/>
        <w:rPr>
          <w:rFonts w:ascii="Arial" w:hAnsi="Arial" w:cs="Arial"/>
          <w:sz w:val="24"/>
          <w:szCs w:val="24"/>
        </w:rPr>
      </w:pPr>
    </w:p>
    <w:p w14:paraId="57EDC565" w14:textId="77777777" w:rsidR="007265F0" w:rsidRDefault="007265F0" w:rsidP="007265F0">
      <w:pPr>
        <w:numPr>
          <w:ilvl w:val="0"/>
          <w:numId w:val="17"/>
        </w:numPr>
        <w:jc w:val="both"/>
        <w:rPr>
          <w:rFonts w:ascii="Arial" w:hAnsi="Arial" w:cs="Arial"/>
          <w:sz w:val="24"/>
          <w:szCs w:val="24"/>
        </w:rPr>
      </w:pPr>
      <w:r>
        <w:rPr>
          <w:rFonts w:ascii="Arial" w:hAnsi="Arial" w:cs="Arial"/>
          <w:sz w:val="24"/>
          <w:szCs w:val="24"/>
        </w:rPr>
        <w:t>The Housing Act 1985</w:t>
      </w:r>
    </w:p>
    <w:p w14:paraId="57BA8D14" w14:textId="77777777" w:rsidR="0042020D" w:rsidRDefault="0042020D" w:rsidP="007265F0">
      <w:pPr>
        <w:numPr>
          <w:ilvl w:val="0"/>
          <w:numId w:val="17"/>
        </w:numPr>
        <w:jc w:val="both"/>
        <w:rPr>
          <w:rFonts w:ascii="Arial" w:hAnsi="Arial" w:cs="Arial"/>
          <w:sz w:val="24"/>
          <w:szCs w:val="24"/>
        </w:rPr>
      </w:pPr>
      <w:r>
        <w:rPr>
          <w:rFonts w:ascii="Arial" w:hAnsi="Arial" w:cs="Arial"/>
          <w:sz w:val="24"/>
          <w:szCs w:val="24"/>
        </w:rPr>
        <w:t>The Housing Act 1988</w:t>
      </w:r>
    </w:p>
    <w:p w14:paraId="2AC32CDB" w14:textId="77777777" w:rsidR="0042020D" w:rsidRDefault="0042020D" w:rsidP="007265F0">
      <w:pPr>
        <w:numPr>
          <w:ilvl w:val="0"/>
          <w:numId w:val="17"/>
        </w:numPr>
        <w:jc w:val="both"/>
        <w:rPr>
          <w:rFonts w:ascii="Arial" w:hAnsi="Arial" w:cs="Arial"/>
          <w:sz w:val="24"/>
          <w:szCs w:val="24"/>
        </w:rPr>
      </w:pPr>
      <w:r>
        <w:rPr>
          <w:rFonts w:ascii="Arial" w:hAnsi="Arial" w:cs="Arial"/>
          <w:sz w:val="24"/>
          <w:szCs w:val="24"/>
        </w:rPr>
        <w:t>The Human Rights Act 1998</w:t>
      </w:r>
    </w:p>
    <w:p w14:paraId="1C9C9950" w14:textId="77777777" w:rsidR="0042020D" w:rsidRDefault="0042020D" w:rsidP="007265F0">
      <w:pPr>
        <w:numPr>
          <w:ilvl w:val="0"/>
          <w:numId w:val="17"/>
        </w:numPr>
        <w:jc w:val="both"/>
        <w:rPr>
          <w:rFonts w:ascii="Arial" w:hAnsi="Arial" w:cs="Arial"/>
          <w:sz w:val="24"/>
          <w:szCs w:val="24"/>
        </w:rPr>
      </w:pPr>
      <w:r>
        <w:rPr>
          <w:rFonts w:ascii="Arial" w:hAnsi="Arial" w:cs="Arial"/>
          <w:sz w:val="24"/>
          <w:szCs w:val="24"/>
        </w:rPr>
        <w:t>The Housing Act 1989</w:t>
      </w:r>
    </w:p>
    <w:p w14:paraId="3EB25E0A" w14:textId="77777777" w:rsidR="0042020D" w:rsidRDefault="0042020D" w:rsidP="007265F0">
      <w:pPr>
        <w:numPr>
          <w:ilvl w:val="0"/>
          <w:numId w:val="17"/>
        </w:numPr>
        <w:jc w:val="both"/>
        <w:rPr>
          <w:rFonts w:ascii="Arial" w:hAnsi="Arial" w:cs="Arial"/>
          <w:sz w:val="24"/>
          <w:szCs w:val="24"/>
        </w:rPr>
      </w:pPr>
      <w:r>
        <w:rPr>
          <w:rFonts w:ascii="Arial" w:hAnsi="Arial" w:cs="Arial"/>
          <w:sz w:val="24"/>
          <w:szCs w:val="24"/>
        </w:rPr>
        <w:t>Local Government Act 2000</w:t>
      </w:r>
    </w:p>
    <w:p w14:paraId="5BCE8684" w14:textId="77777777" w:rsidR="0042020D" w:rsidRDefault="0042020D" w:rsidP="007265F0">
      <w:pPr>
        <w:numPr>
          <w:ilvl w:val="0"/>
          <w:numId w:val="17"/>
        </w:numPr>
        <w:jc w:val="both"/>
        <w:rPr>
          <w:rFonts w:ascii="Arial" w:hAnsi="Arial" w:cs="Arial"/>
          <w:sz w:val="24"/>
          <w:szCs w:val="24"/>
        </w:rPr>
      </w:pPr>
      <w:r>
        <w:rPr>
          <w:rFonts w:ascii="Arial" w:hAnsi="Arial" w:cs="Arial"/>
          <w:sz w:val="24"/>
          <w:szCs w:val="24"/>
        </w:rPr>
        <w:t>Guide to social rent reforms (2001)</w:t>
      </w:r>
    </w:p>
    <w:p w14:paraId="1D0B4A7A" w14:textId="77777777" w:rsidR="00AC1835" w:rsidRDefault="00AC1835" w:rsidP="007265F0">
      <w:pPr>
        <w:numPr>
          <w:ilvl w:val="0"/>
          <w:numId w:val="17"/>
        </w:numPr>
        <w:jc w:val="both"/>
        <w:rPr>
          <w:rFonts w:ascii="Arial" w:hAnsi="Arial" w:cs="Arial"/>
          <w:sz w:val="24"/>
          <w:szCs w:val="24"/>
        </w:rPr>
      </w:pPr>
      <w:r>
        <w:rPr>
          <w:rFonts w:ascii="Arial" w:hAnsi="Arial" w:cs="Arial"/>
          <w:sz w:val="24"/>
          <w:szCs w:val="24"/>
        </w:rPr>
        <w:t>Guidance on effective rent arrears management (CLG 2006)</w:t>
      </w:r>
    </w:p>
    <w:p w14:paraId="5534D999" w14:textId="77777777" w:rsidR="00AC1835" w:rsidRDefault="00AC1835" w:rsidP="007265F0">
      <w:pPr>
        <w:numPr>
          <w:ilvl w:val="0"/>
          <w:numId w:val="17"/>
        </w:numPr>
        <w:jc w:val="both"/>
        <w:rPr>
          <w:rFonts w:ascii="Arial" w:hAnsi="Arial" w:cs="Arial"/>
          <w:sz w:val="24"/>
          <w:szCs w:val="24"/>
        </w:rPr>
      </w:pPr>
      <w:r>
        <w:rPr>
          <w:rFonts w:ascii="Arial" w:hAnsi="Arial" w:cs="Arial"/>
          <w:sz w:val="24"/>
          <w:szCs w:val="24"/>
        </w:rPr>
        <w:t>Pre action protocol for possession claims based on rent arrears (Ministry of Justice 2006)</w:t>
      </w:r>
    </w:p>
    <w:p w14:paraId="678CB405" w14:textId="77777777" w:rsidR="0044394A" w:rsidRDefault="0057523F" w:rsidP="0044394A">
      <w:pPr>
        <w:numPr>
          <w:ilvl w:val="0"/>
          <w:numId w:val="17"/>
        </w:numPr>
        <w:jc w:val="both"/>
        <w:rPr>
          <w:rFonts w:ascii="Arial" w:hAnsi="Arial" w:cs="Arial"/>
          <w:sz w:val="24"/>
          <w:szCs w:val="24"/>
        </w:rPr>
      </w:pPr>
      <w:r>
        <w:rPr>
          <w:rFonts w:ascii="Arial" w:hAnsi="Arial" w:cs="Arial"/>
          <w:sz w:val="24"/>
          <w:szCs w:val="24"/>
        </w:rPr>
        <w:t>Equalities Act 2010</w:t>
      </w:r>
    </w:p>
    <w:p w14:paraId="1BE3242C" w14:textId="77777777" w:rsidR="00080B60" w:rsidRPr="0092435F" w:rsidRDefault="00080B60" w:rsidP="00080B60">
      <w:pPr>
        <w:jc w:val="both"/>
        <w:rPr>
          <w:rFonts w:ascii="Arial" w:hAnsi="Arial" w:cs="Arial"/>
          <w:sz w:val="24"/>
          <w:szCs w:val="24"/>
        </w:rPr>
      </w:pPr>
    </w:p>
    <w:p w14:paraId="73EF653A" w14:textId="77777777" w:rsidR="00080B60" w:rsidRPr="0092435F" w:rsidRDefault="00000000" w:rsidP="00080B60">
      <w:pPr>
        <w:jc w:val="both"/>
        <w:rPr>
          <w:rFonts w:ascii="Arial" w:hAnsi="Arial" w:cs="Arial"/>
          <w:sz w:val="24"/>
          <w:szCs w:val="24"/>
        </w:rPr>
      </w:pPr>
      <w:r>
        <w:rPr>
          <w:rFonts w:ascii="Arial" w:hAnsi="Arial" w:cs="Arial"/>
          <w:sz w:val="24"/>
          <w:szCs w:val="24"/>
        </w:rPr>
        <w:pict w14:anchorId="4B9791F4">
          <v:rect id="_x0000_i1025" style="width:0;height:1.5pt" o:hralign="center" o:hrstd="t" o:hr="t" fillcolor="gray" stroked="f"/>
        </w:pict>
      </w:r>
    </w:p>
    <w:p w14:paraId="420B5995" w14:textId="77777777" w:rsidR="00080B60" w:rsidRPr="0092435F" w:rsidRDefault="00080B60" w:rsidP="00080B60">
      <w:pPr>
        <w:ind w:left="720"/>
        <w:jc w:val="both"/>
        <w:rPr>
          <w:rFonts w:ascii="Arial" w:hAnsi="Arial" w:cs="Arial"/>
          <w:sz w:val="24"/>
          <w:szCs w:val="24"/>
        </w:rPr>
      </w:pPr>
    </w:p>
    <w:p w14:paraId="4878782E" w14:textId="77777777" w:rsidR="00F219D3" w:rsidRPr="00F219D3" w:rsidRDefault="00080B60" w:rsidP="00080B60">
      <w:pPr>
        <w:jc w:val="both"/>
        <w:rPr>
          <w:rFonts w:ascii="Arial" w:hAnsi="Arial" w:cs="Arial"/>
          <w:b/>
          <w:sz w:val="24"/>
          <w:szCs w:val="24"/>
        </w:rPr>
      </w:pPr>
      <w:r w:rsidRPr="0092435F">
        <w:rPr>
          <w:rFonts w:ascii="Arial" w:hAnsi="Arial" w:cs="Arial"/>
          <w:b/>
          <w:sz w:val="24"/>
          <w:szCs w:val="24"/>
        </w:rPr>
        <w:t>POLICY STATEMENTS</w:t>
      </w:r>
    </w:p>
    <w:p w14:paraId="50A74863" w14:textId="77777777" w:rsidR="00080B60" w:rsidRDefault="00263377" w:rsidP="00080B60">
      <w:pPr>
        <w:jc w:val="both"/>
        <w:rPr>
          <w:rFonts w:ascii="Arial" w:hAnsi="Arial" w:cs="Arial"/>
          <w:sz w:val="24"/>
          <w:szCs w:val="24"/>
        </w:rPr>
      </w:pPr>
      <w:r>
        <w:rPr>
          <w:rFonts w:ascii="Arial" w:hAnsi="Arial" w:cs="Arial"/>
          <w:sz w:val="24"/>
          <w:szCs w:val="24"/>
        </w:rPr>
        <w:t>Mansfield District Council’s Landlord Service</w:t>
      </w:r>
      <w:r w:rsidR="000C2E26">
        <w:rPr>
          <w:rFonts w:ascii="Arial" w:hAnsi="Arial" w:cs="Arial"/>
          <w:sz w:val="24"/>
          <w:szCs w:val="24"/>
        </w:rPr>
        <w:t>s</w:t>
      </w:r>
      <w:r>
        <w:rPr>
          <w:rFonts w:ascii="Arial" w:hAnsi="Arial" w:cs="Arial"/>
          <w:sz w:val="24"/>
          <w:szCs w:val="24"/>
        </w:rPr>
        <w:t xml:space="preserve"> recognises that the collection of rent</w:t>
      </w:r>
      <w:r w:rsidR="00491677">
        <w:rPr>
          <w:rFonts w:ascii="Arial" w:hAnsi="Arial" w:cs="Arial"/>
          <w:sz w:val="24"/>
          <w:szCs w:val="24"/>
        </w:rPr>
        <w:t xml:space="preserve"> and tenancy charges, including</w:t>
      </w:r>
      <w:r>
        <w:rPr>
          <w:rFonts w:ascii="Arial" w:hAnsi="Arial" w:cs="Arial"/>
          <w:sz w:val="24"/>
          <w:szCs w:val="24"/>
        </w:rPr>
        <w:t xml:space="preserve"> arrears, is essential to maximise the resources available to </w:t>
      </w:r>
      <w:r w:rsidR="007F140D">
        <w:rPr>
          <w:rFonts w:ascii="Arial" w:hAnsi="Arial" w:cs="Arial"/>
          <w:sz w:val="24"/>
          <w:szCs w:val="24"/>
        </w:rPr>
        <w:t xml:space="preserve">deliver an effective, efficient tenancy management service, </w:t>
      </w:r>
      <w:r>
        <w:rPr>
          <w:rFonts w:ascii="Arial" w:hAnsi="Arial" w:cs="Arial"/>
          <w:sz w:val="24"/>
          <w:szCs w:val="24"/>
        </w:rPr>
        <w:t>improve and maintain our stock</w:t>
      </w:r>
      <w:r w:rsidR="005B56D5">
        <w:rPr>
          <w:rFonts w:ascii="Arial" w:hAnsi="Arial" w:cs="Arial"/>
          <w:sz w:val="24"/>
          <w:szCs w:val="24"/>
        </w:rPr>
        <w:t xml:space="preserve"> and </w:t>
      </w:r>
      <w:r w:rsidR="00147D00">
        <w:rPr>
          <w:rFonts w:ascii="Arial" w:hAnsi="Arial" w:cs="Arial"/>
          <w:sz w:val="24"/>
          <w:szCs w:val="24"/>
        </w:rPr>
        <w:t xml:space="preserve">ultimately enable us to </w:t>
      </w:r>
      <w:r w:rsidR="005B56D5">
        <w:rPr>
          <w:rFonts w:ascii="Arial" w:hAnsi="Arial" w:cs="Arial"/>
          <w:sz w:val="24"/>
          <w:szCs w:val="24"/>
        </w:rPr>
        <w:t xml:space="preserve">deliver </w:t>
      </w:r>
      <w:r w:rsidR="00147D00">
        <w:rPr>
          <w:rFonts w:ascii="Arial" w:hAnsi="Arial" w:cs="Arial"/>
          <w:sz w:val="24"/>
          <w:szCs w:val="24"/>
        </w:rPr>
        <w:t>against our corporate priorities</w:t>
      </w:r>
      <w:r w:rsidR="005D5720">
        <w:rPr>
          <w:rFonts w:ascii="Arial" w:hAnsi="Arial" w:cs="Arial"/>
          <w:sz w:val="24"/>
          <w:szCs w:val="24"/>
        </w:rPr>
        <w:t xml:space="preserve"> including:</w:t>
      </w:r>
    </w:p>
    <w:p w14:paraId="3C90E956" w14:textId="77777777" w:rsidR="005D5720" w:rsidRDefault="005D5720" w:rsidP="00080B60">
      <w:pPr>
        <w:jc w:val="both"/>
        <w:rPr>
          <w:rFonts w:ascii="Arial" w:hAnsi="Arial" w:cs="Arial"/>
          <w:sz w:val="24"/>
          <w:szCs w:val="24"/>
        </w:rPr>
      </w:pPr>
    </w:p>
    <w:p w14:paraId="1E546D3F" w14:textId="77777777" w:rsidR="005D5720" w:rsidRDefault="00856259" w:rsidP="00856259">
      <w:pPr>
        <w:overflowPunct/>
        <w:autoSpaceDE/>
        <w:autoSpaceDN/>
        <w:adjustRightInd/>
        <w:textAlignment w:val="auto"/>
        <w:rPr>
          <w:rFonts w:ascii="Arial" w:hAnsi="Arial" w:cs="Arial"/>
          <w:sz w:val="24"/>
          <w:szCs w:val="24"/>
        </w:rPr>
      </w:pPr>
      <w:r>
        <w:rPr>
          <w:rFonts w:ascii="Arial" w:hAnsi="Arial" w:cs="Arial"/>
          <w:sz w:val="24"/>
          <w:szCs w:val="24"/>
        </w:rPr>
        <w:t>“</w:t>
      </w:r>
      <w:r w:rsidR="005D5720" w:rsidRPr="00856259">
        <w:rPr>
          <w:rFonts w:ascii="Arial" w:hAnsi="Arial" w:cs="Arial"/>
          <w:sz w:val="24"/>
          <w:szCs w:val="24"/>
        </w:rPr>
        <w:t>Housing – ensuring there is an adequate supply of good quality, well managed housing which is accessible and affordable to those who need it</w:t>
      </w:r>
      <w:r>
        <w:rPr>
          <w:rFonts w:ascii="Arial" w:hAnsi="Arial" w:cs="Arial"/>
          <w:sz w:val="24"/>
          <w:szCs w:val="24"/>
        </w:rPr>
        <w:t>.”</w:t>
      </w:r>
    </w:p>
    <w:p w14:paraId="27EFDE08" w14:textId="77777777" w:rsidR="00856259" w:rsidRDefault="00856259" w:rsidP="00856259">
      <w:pPr>
        <w:overflowPunct/>
        <w:autoSpaceDE/>
        <w:autoSpaceDN/>
        <w:adjustRightInd/>
        <w:textAlignment w:val="auto"/>
        <w:rPr>
          <w:rFonts w:ascii="Arial" w:hAnsi="Arial" w:cs="Arial"/>
          <w:sz w:val="24"/>
          <w:szCs w:val="24"/>
        </w:rPr>
      </w:pPr>
    </w:p>
    <w:p w14:paraId="3825B212" w14:textId="77777777" w:rsidR="004E1AFE" w:rsidRDefault="004E1AFE" w:rsidP="00856259">
      <w:pPr>
        <w:overflowPunct/>
        <w:autoSpaceDE/>
        <w:autoSpaceDN/>
        <w:adjustRightInd/>
        <w:textAlignment w:val="auto"/>
        <w:rPr>
          <w:rFonts w:ascii="Arial" w:hAnsi="Arial" w:cs="Arial"/>
          <w:sz w:val="24"/>
          <w:szCs w:val="24"/>
        </w:rPr>
      </w:pPr>
      <w:r>
        <w:rPr>
          <w:rFonts w:ascii="Arial" w:hAnsi="Arial" w:cs="Arial"/>
          <w:sz w:val="24"/>
          <w:szCs w:val="24"/>
        </w:rPr>
        <w:t>We will offer a range of payment options to enable tenants to pay their rent</w:t>
      </w:r>
      <w:r w:rsidR="00371196">
        <w:rPr>
          <w:rFonts w:ascii="Arial" w:hAnsi="Arial" w:cs="Arial"/>
          <w:sz w:val="24"/>
          <w:szCs w:val="24"/>
        </w:rPr>
        <w:t xml:space="preserve"> and tenancy charges</w:t>
      </w:r>
      <w:r>
        <w:rPr>
          <w:rFonts w:ascii="Arial" w:hAnsi="Arial" w:cs="Arial"/>
          <w:sz w:val="24"/>
          <w:szCs w:val="24"/>
        </w:rPr>
        <w:t xml:space="preserve"> at a time, place and in a manner that is suitable to them. We will continually review the payment options available in consultation with our tenants.</w:t>
      </w:r>
    </w:p>
    <w:p w14:paraId="192D3C3A" w14:textId="77777777" w:rsidR="00FE0F4D" w:rsidRDefault="00FE0F4D" w:rsidP="00856259">
      <w:pPr>
        <w:overflowPunct/>
        <w:autoSpaceDE/>
        <w:autoSpaceDN/>
        <w:adjustRightInd/>
        <w:textAlignment w:val="auto"/>
        <w:rPr>
          <w:rFonts w:ascii="Arial" w:hAnsi="Arial" w:cs="Arial"/>
          <w:sz w:val="24"/>
          <w:szCs w:val="24"/>
        </w:rPr>
      </w:pPr>
    </w:p>
    <w:p w14:paraId="776C2ED2" w14:textId="77777777" w:rsidR="00FE0F4D" w:rsidRDefault="00FE0F4D" w:rsidP="00FE0F4D">
      <w:pPr>
        <w:jc w:val="both"/>
        <w:rPr>
          <w:rFonts w:ascii="Arial" w:hAnsi="Arial" w:cs="Arial"/>
          <w:sz w:val="24"/>
          <w:szCs w:val="24"/>
        </w:rPr>
      </w:pPr>
      <w:r>
        <w:rPr>
          <w:rFonts w:ascii="Arial" w:hAnsi="Arial" w:cs="Arial"/>
          <w:sz w:val="24"/>
          <w:szCs w:val="24"/>
        </w:rPr>
        <w:t>We will pursue recovery of rent and tenancy charges in compliance with our procedures, legislative and statutory requirements, including the pre action protocol for possession claims based on rent arrears (Ministry of Justice 2006).</w:t>
      </w:r>
    </w:p>
    <w:p w14:paraId="0C4D1F82" w14:textId="77777777" w:rsidR="004E1AFE" w:rsidRDefault="004E1AFE" w:rsidP="00856259">
      <w:pPr>
        <w:overflowPunct/>
        <w:autoSpaceDE/>
        <w:autoSpaceDN/>
        <w:adjustRightInd/>
        <w:textAlignment w:val="auto"/>
        <w:rPr>
          <w:rFonts w:ascii="Arial" w:hAnsi="Arial" w:cs="Arial"/>
          <w:sz w:val="24"/>
          <w:szCs w:val="24"/>
        </w:rPr>
      </w:pPr>
    </w:p>
    <w:p w14:paraId="05BE8364" w14:textId="77777777" w:rsidR="003E14DE" w:rsidRDefault="003E14DE" w:rsidP="00856259">
      <w:pPr>
        <w:overflowPunct/>
        <w:autoSpaceDE/>
        <w:autoSpaceDN/>
        <w:adjustRightInd/>
        <w:textAlignment w:val="auto"/>
        <w:rPr>
          <w:rFonts w:ascii="Arial" w:hAnsi="Arial" w:cs="Arial"/>
          <w:sz w:val="24"/>
          <w:szCs w:val="24"/>
        </w:rPr>
      </w:pPr>
      <w:r>
        <w:rPr>
          <w:rFonts w:ascii="Arial" w:hAnsi="Arial" w:cs="Arial"/>
          <w:sz w:val="24"/>
          <w:szCs w:val="24"/>
        </w:rPr>
        <w:t>However</w:t>
      </w:r>
      <w:r w:rsidR="000C2E26">
        <w:rPr>
          <w:rFonts w:ascii="Arial" w:hAnsi="Arial" w:cs="Arial"/>
          <w:sz w:val="24"/>
          <w:szCs w:val="24"/>
        </w:rPr>
        <w:t>,</w:t>
      </w:r>
      <w:r>
        <w:rPr>
          <w:rFonts w:ascii="Arial" w:hAnsi="Arial" w:cs="Arial"/>
          <w:sz w:val="24"/>
          <w:szCs w:val="24"/>
        </w:rPr>
        <w:t xml:space="preserve"> in doing so</w:t>
      </w:r>
      <w:r w:rsidR="00CB30FD">
        <w:rPr>
          <w:rFonts w:ascii="Arial" w:hAnsi="Arial" w:cs="Arial"/>
          <w:sz w:val="24"/>
          <w:szCs w:val="24"/>
        </w:rPr>
        <w:t>,</w:t>
      </w:r>
      <w:r>
        <w:rPr>
          <w:rFonts w:ascii="Arial" w:hAnsi="Arial" w:cs="Arial"/>
          <w:sz w:val="24"/>
          <w:szCs w:val="24"/>
        </w:rPr>
        <w:t xml:space="preserve"> w</w:t>
      </w:r>
      <w:r w:rsidR="00962AAC">
        <w:rPr>
          <w:rFonts w:ascii="Arial" w:hAnsi="Arial" w:cs="Arial"/>
          <w:sz w:val="24"/>
          <w:szCs w:val="24"/>
        </w:rPr>
        <w:t>e</w:t>
      </w:r>
      <w:r w:rsidR="00C536C8">
        <w:rPr>
          <w:rFonts w:ascii="Arial" w:hAnsi="Arial" w:cs="Arial"/>
          <w:sz w:val="24"/>
          <w:szCs w:val="24"/>
        </w:rPr>
        <w:t xml:space="preserve"> will adopt </w:t>
      </w:r>
      <w:r w:rsidR="004A33D8">
        <w:rPr>
          <w:rFonts w:ascii="Arial" w:hAnsi="Arial" w:cs="Arial"/>
          <w:sz w:val="24"/>
          <w:szCs w:val="24"/>
        </w:rPr>
        <w:t>a firm but fair approach to</w:t>
      </w:r>
      <w:r w:rsidR="00C536C8">
        <w:rPr>
          <w:rFonts w:ascii="Arial" w:hAnsi="Arial" w:cs="Arial"/>
          <w:sz w:val="24"/>
          <w:szCs w:val="24"/>
        </w:rPr>
        <w:t xml:space="preserve"> arrears recovery, which is sensitive to </w:t>
      </w:r>
      <w:proofErr w:type="gramStart"/>
      <w:r w:rsidR="00C536C8">
        <w:rPr>
          <w:rFonts w:ascii="Arial" w:hAnsi="Arial" w:cs="Arial"/>
          <w:sz w:val="24"/>
          <w:szCs w:val="24"/>
        </w:rPr>
        <w:t>individuals</w:t>
      </w:r>
      <w:proofErr w:type="gramEnd"/>
      <w:r w:rsidR="00C536C8">
        <w:rPr>
          <w:rFonts w:ascii="Arial" w:hAnsi="Arial" w:cs="Arial"/>
          <w:sz w:val="24"/>
          <w:szCs w:val="24"/>
        </w:rPr>
        <w:t xml:space="preserve"> circumstances. We will take </w:t>
      </w:r>
      <w:proofErr w:type="spellStart"/>
      <w:r w:rsidR="00C536C8">
        <w:rPr>
          <w:rFonts w:ascii="Arial" w:hAnsi="Arial" w:cs="Arial"/>
          <w:sz w:val="24"/>
          <w:szCs w:val="24"/>
        </w:rPr>
        <w:t>pro active</w:t>
      </w:r>
      <w:proofErr w:type="spellEnd"/>
      <w:r w:rsidR="00C536C8">
        <w:rPr>
          <w:rFonts w:ascii="Arial" w:hAnsi="Arial" w:cs="Arial"/>
          <w:sz w:val="24"/>
          <w:szCs w:val="24"/>
        </w:rPr>
        <w:t xml:space="preserve"> steps to prevent and minim</w:t>
      </w:r>
      <w:r w:rsidR="004A33D8">
        <w:rPr>
          <w:rFonts w:ascii="Arial" w:hAnsi="Arial" w:cs="Arial"/>
          <w:sz w:val="24"/>
          <w:szCs w:val="24"/>
        </w:rPr>
        <w:t xml:space="preserve">ise the </w:t>
      </w:r>
      <w:proofErr w:type="spellStart"/>
      <w:r w:rsidR="004A33D8">
        <w:rPr>
          <w:rFonts w:ascii="Arial" w:hAnsi="Arial" w:cs="Arial"/>
          <w:sz w:val="24"/>
          <w:szCs w:val="24"/>
        </w:rPr>
        <w:t>build up</w:t>
      </w:r>
      <w:proofErr w:type="spellEnd"/>
      <w:r w:rsidR="004A33D8">
        <w:rPr>
          <w:rFonts w:ascii="Arial" w:hAnsi="Arial" w:cs="Arial"/>
          <w:sz w:val="24"/>
          <w:szCs w:val="24"/>
        </w:rPr>
        <w:t xml:space="preserve"> of arrears</w:t>
      </w:r>
      <w:r w:rsidR="00C536C8">
        <w:rPr>
          <w:rFonts w:ascii="Arial" w:hAnsi="Arial" w:cs="Arial"/>
          <w:sz w:val="24"/>
          <w:szCs w:val="24"/>
        </w:rPr>
        <w:t xml:space="preserve"> where possible, recognising that from </w:t>
      </w:r>
      <w:proofErr w:type="gramStart"/>
      <w:r w:rsidR="00C536C8">
        <w:rPr>
          <w:rFonts w:ascii="Arial" w:hAnsi="Arial" w:cs="Arial"/>
          <w:sz w:val="24"/>
          <w:szCs w:val="24"/>
        </w:rPr>
        <w:t>time to time</w:t>
      </w:r>
      <w:proofErr w:type="gramEnd"/>
      <w:r w:rsidR="00C536C8">
        <w:rPr>
          <w:rFonts w:ascii="Arial" w:hAnsi="Arial" w:cs="Arial"/>
          <w:sz w:val="24"/>
          <w:szCs w:val="24"/>
        </w:rPr>
        <w:t xml:space="preserve"> tenants may experience financial difficulties.</w:t>
      </w:r>
    </w:p>
    <w:p w14:paraId="78C3398A" w14:textId="77777777" w:rsidR="003E14DE" w:rsidRDefault="003E14DE" w:rsidP="00856259">
      <w:pPr>
        <w:overflowPunct/>
        <w:autoSpaceDE/>
        <w:autoSpaceDN/>
        <w:adjustRightInd/>
        <w:textAlignment w:val="auto"/>
        <w:rPr>
          <w:rFonts w:ascii="Arial" w:hAnsi="Arial" w:cs="Arial"/>
          <w:sz w:val="24"/>
          <w:szCs w:val="24"/>
        </w:rPr>
      </w:pPr>
    </w:p>
    <w:p w14:paraId="74835565" w14:textId="77777777" w:rsidR="00856259" w:rsidRDefault="00C536C8" w:rsidP="00856259">
      <w:pPr>
        <w:overflowPunct/>
        <w:autoSpaceDE/>
        <w:autoSpaceDN/>
        <w:adjustRightInd/>
        <w:textAlignment w:val="auto"/>
        <w:rPr>
          <w:rFonts w:ascii="Arial" w:hAnsi="Arial" w:cs="Arial"/>
          <w:sz w:val="24"/>
          <w:szCs w:val="24"/>
        </w:rPr>
      </w:pPr>
      <w:r>
        <w:rPr>
          <w:rFonts w:ascii="Arial" w:hAnsi="Arial" w:cs="Arial"/>
          <w:sz w:val="24"/>
          <w:szCs w:val="24"/>
        </w:rPr>
        <w:t>In these circumstances, we aim to support and work with tenants at the earliest opportunity to offer tailored advice and support.</w:t>
      </w:r>
      <w:r w:rsidR="00440181">
        <w:rPr>
          <w:rFonts w:ascii="Arial" w:hAnsi="Arial" w:cs="Arial"/>
          <w:sz w:val="24"/>
          <w:szCs w:val="24"/>
        </w:rPr>
        <w:t xml:space="preserve"> Particular emphasis will be placed </w:t>
      </w:r>
      <w:r w:rsidR="000C2E26">
        <w:rPr>
          <w:rFonts w:ascii="Arial" w:hAnsi="Arial" w:cs="Arial"/>
          <w:sz w:val="24"/>
          <w:szCs w:val="24"/>
        </w:rPr>
        <w:t>on</w:t>
      </w:r>
      <w:r w:rsidR="00440181">
        <w:rPr>
          <w:rFonts w:ascii="Arial" w:hAnsi="Arial" w:cs="Arial"/>
          <w:sz w:val="24"/>
          <w:szCs w:val="24"/>
        </w:rPr>
        <w:t xml:space="preserve"> </w:t>
      </w:r>
      <w:r w:rsidR="00FC4C49">
        <w:rPr>
          <w:rFonts w:ascii="Arial" w:hAnsi="Arial" w:cs="Arial"/>
          <w:sz w:val="24"/>
          <w:szCs w:val="24"/>
        </w:rPr>
        <w:t xml:space="preserve">providing </w:t>
      </w:r>
      <w:r w:rsidR="00072ECB">
        <w:rPr>
          <w:rFonts w:ascii="Arial" w:hAnsi="Arial" w:cs="Arial"/>
          <w:sz w:val="24"/>
          <w:szCs w:val="24"/>
        </w:rPr>
        <w:t xml:space="preserve">specific </w:t>
      </w:r>
      <w:r w:rsidR="00FC4C49">
        <w:rPr>
          <w:rFonts w:ascii="Arial" w:hAnsi="Arial" w:cs="Arial"/>
          <w:sz w:val="24"/>
          <w:szCs w:val="24"/>
        </w:rPr>
        <w:t>support</w:t>
      </w:r>
      <w:r w:rsidR="008C440B">
        <w:rPr>
          <w:rFonts w:ascii="Arial" w:hAnsi="Arial" w:cs="Arial"/>
          <w:sz w:val="24"/>
          <w:szCs w:val="24"/>
        </w:rPr>
        <w:t xml:space="preserve"> i.e. budgeting advice</w:t>
      </w:r>
      <w:r w:rsidR="00FC4C49">
        <w:rPr>
          <w:rFonts w:ascii="Arial" w:hAnsi="Arial" w:cs="Arial"/>
          <w:sz w:val="24"/>
          <w:szCs w:val="24"/>
        </w:rPr>
        <w:t xml:space="preserve"> to</w:t>
      </w:r>
      <w:r w:rsidR="00440181">
        <w:rPr>
          <w:rFonts w:ascii="Arial" w:hAnsi="Arial" w:cs="Arial"/>
          <w:sz w:val="24"/>
          <w:szCs w:val="24"/>
        </w:rPr>
        <w:t xml:space="preserve"> </w:t>
      </w:r>
      <w:r w:rsidR="00FC4C49">
        <w:rPr>
          <w:rFonts w:ascii="Arial" w:hAnsi="Arial" w:cs="Arial"/>
          <w:sz w:val="24"/>
          <w:szCs w:val="24"/>
        </w:rPr>
        <w:t xml:space="preserve">those tenants affected </w:t>
      </w:r>
      <w:r w:rsidR="00072ECB">
        <w:rPr>
          <w:rFonts w:ascii="Arial" w:hAnsi="Arial" w:cs="Arial"/>
          <w:sz w:val="24"/>
          <w:szCs w:val="24"/>
        </w:rPr>
        <w:t xml:space="preserve">by the </w:t>
      </w:r>
      <w:proofErr w:type="gramStart"/>
      <w:r w:rsidR="00072ECB">
        <w:rPr>
          <w:rFonts w:ascii="Arial" w:hAnsi="Arial" w:cs="Arial"/>
          <w:sz w:val="24"/>
          <w:szCs w:val="24"/>
        </w:rPr>
        <w:t>under occup</w:t>
      </w:r>
      <w:r w:rsidR="000C2E26">
        <w:rPr>
          <w:rFonts w:ascii="Arial" w:hAnsi="Arial" w:cs="Arial"/>
          <w:sz w:val="24"/>
          <w:szCs w:val="24"/>
        </w:rPr>
        <w:t>ancy</w:t>
      </w:r>
      <w:proofErr w:type="gramEnd"/>
      <w:r w:rsidR="000C2E26">
        <w:rPr>
          <w:rFonts w:ascii="Arial" w:hAnsi="Arial" w:cs="Arial"/>
          <w:sz w:val="24"/>
          <w:szCs w:val="24"/>
        </w:rPr>
        <w:t xml:space="preserve"> charges</w:t>
      </w:r>
      <w:r w:rsidR="0093003B">
        <w:rPr>
          <w:rFonts w:ascii="Arial" w:hAnsi="Arial" w:cs="Arial"/>
          <w:sz w:val="24"/>
          <w:szCs w:val="24"/>
        </w:rPr>
        <w:t xml:space="preserve">. </w:t>
      </w:r>
      <w:r w:rsidR="00277723">
        <w:rPr>
          <w:rFonts w:ascii="Arial" w:hAnsi="Arial" w:cs="Arial"/>
          <w:sz w:val="24"/>
          <w:szCs w:val="24"/>
        </w:rPr>
        <w:t xml:space="preserve">This targeted approach will also be used to minimise the impact of the </w:t>
      </w:r>
      <w:r w:rsidR="00196D61">
        <w:rPr>
          <w:rFonts w:ascii="Arial" w:hAnsi="Arial" w:cs="Arial"/>
          <w:sz w:val="24"/>
          <w:szCs w:val="24"/>
        </w:rPr>
        <w:t xml:space="preserve">changes that will be brought about through the </w:t>
      </w:r>
      <w:r w:rsidR="00277723">
        <w:rPr>
          <w:rFonts w:ascii="Arial" w:hAnsi="Arial" w:cs="Arial"/>
          <w:sz w:val="24"/>
          <w:szCs w:val="24"/>
        </w:rPr>
        <w:t xml:space="preserve">introduction of universal credit </w:t>
      </w:r>
      <w:r w:rsidR="00196D61">
        <w:rPr>
          <w:rFonts w:ascii="Arial" w:hAnsi="Arial" w:cs="Arial"/>
          <w:sz w:val="24"/>
          <w:szCs w:val="24"/>
        </w:rPr>
        <w:t>payment system</w:t>
      </w:r>
      <w:r w:rsidR="00CB30FD">
        <w:rPr>
          <w:rFonts w:ascii="Arial" w:hAnsi="Arial" w:cs="Arial"/>
          <w:sz w:val="24"/>
          <w:szCs w:val="24"/>
        </w:rPr>
        <w:t>.</w:t>
      </w:r>
    </w:p>
    <w:p w14:paraId="6D70040B" w14:textId="77777777" w:rsidR="007372C8" w:rsidRDefault="007372C8" w:rsidP="007372C8">
      <w:pPr>
        <w:jc w:val="both"/>
        <w:rPr>
          <w:rFonts w:ascii="Arial" w:hAnsi="Arial" w:cs="Arial"/>
          <w:sz w:val="24"/>
          <w:szCs w:val="24"/>
        </w:rPr>
      </w:pPr>
    </w:p>
    <w:p w14:paraId="7D57F9AD" w14:textId="77777777" w:rsidR="007372C8" w:rsidRPr="007372C8" w:rsidRDefault="007372C8" w:rsidP="007372C8">
      <w:pPr>
        <w:jc w:val="both"/>
        <w:rPr>
          <w:rFonts w:ascii="Arial" w:hAnsi="Arial" w:cs="Arial"/>
          <w:b/>
          <w:sz w:val="24"/>
          <w:szCs w:val="24"/>
        </w:rPr>
      </w:pPr>
      <w:r w:rsidRPr="007372C8">
        <w:rPr>
          <w:rFonts w:ascii="Arial" w:hAnsi="Arial" w:cs="Arial"/>
          <w:b/>
          <w:sz w:val="24"/>
          <w:szCs w:val="24"/>
        </w:rPr>
        <w:t>Policy Content</w:t>
      </w:r>
    </w:p>
    <w:p w14:paraId="33126067" w14:textId="77777777" w:rsidR="007372C8" w:rsidRDefault="007372C8" w:rsidP="007372C8">
      <w:pPr>
        <w:jc w:val="both"/>
        <w:rPr>
          <w:rFonts w:ascii="Arial" w:hAnsi="Arial" w:cs="Arial"/>
          <w:sz w:val="24"/>
          <w:szCs w:val="24"/>
        </w:rPr>
      </w:pPr>
    </w:p>
    <w:p w14:paraId="63092150" w14:textId="77777777" w:rsidR="00DB39F7" w:rsidRPr="006E7135" w:rsidRDefault="006E7135" w:rsidP="007372C8">
      <w:pPr>
        <w:jc w:val="both"/>
        <w:rPr>
          <w:rFonts w:ascii="Arial" w:hAnsi="Arial" w:cs="Arial"/>
          <w:b/>
          <w:sz w:val="24"/>
          <w:szCs w:val="24"/>
        </w:rPr>
      </w:pPr>
      <w:r w:rsidRPr="006E7135">
        <w:rPr>
          <w:rFonts w:ascii="Arial" w:hAnsi="Arial" w:cs="Arial"/>
          <w:b/>
          <w:sz w:val="24"/>
          <w:szCs w:val="24"/>
        </w:rPr>
        <w:t>Prevention of arrears</w:t>
      </w:r>
    </w:p>
    <w:p w14:paraId="704FE85B" w14:textId="77777777" w:rsidR="008E5FDA" w:rsidRDefault="006E7135" w:rsidP="007372C8">
      <w:pPr>
        <w:jc w:val="both"/>
        <w:rPr>
          <w:rFonts w:ascii="Arial" w:hAnsi="Arial" w:cs="Arial"/>
          <w:sz w:val="24"/>
          <w:szCs w:val="24"/>
        </w:rPr>
      </w:pPr>
      <w:r>
        <w:rPr>
          <w:rFonts w:ascii="Arial" w:hAnsi="Arial" w:cs="Arial"/>
          <w:sz w:val="24"/>
          <w:szCs w:val="24"/>
        </w:rPr>
        <w:t xml:space="preserve">When an offer of accommodation is accepted, the prospective tenant will be provided with clear information on their responsibility to pay rent, rent payment methods, the </w:t>
      </w:r>
      <w:r w:rsidR="003336CE">
        <w:rPr>
          <w:rFonts w:ascii="Arial" w:hAnsi="Arial" w:cs="Arial"/>
          <w:sz w:val="24"/>
          <w:szCs w:val="24"/>
        </w:rPr>
        <w:t xml:space="preserve">amount of rent payable </w:t>
      </w:r>
      <w:r>
        <w:rPr>
          <w:rFonts w:ascii="Arial" w:hAnsi="Arial" w:cs="Arial"/>
          <w:sz w:val="24"/>
          <w:szCs w:val="24"/>
        </w:rPr>
        <w:t xml:space="preserve">and </w:t>
      </w:r>
      <w:r w:rsidR="001E39DC">
        <w:rPr>
          <w:rFonts w:ascii="Arial" w:hAnsi="Arial" w:cs="Arial"/>
          <w:sz w:val="24"/>
          <w:szCs w:val="24"/>
        </w:rPr>
        <w:t xml:space="preserve">any </w:t>
      </w:r>
      <w:r>
        <w:rPr>
          <w:rFonts w:ascii="Arial" w:hAnsi="Arial" w:cs="Arial"/>
          <w:sz w:val="24"/>
          <w:szCs w:val="24"/>
        </w:rPr>
        <w:t>heating charges.</w:t>
      </w:r>
      <w:r w:rsidR="00CB30FD">
        <w:rPr>
          <w:rFonts w:ascii="Arial" w:hAnsi="Arial" w:cs="Arial"/>
          <w:sz w:val="24"/>
          <w:szCs w:val="24"/>
        </w:rPr>
        <w:t xml:space="preserve"> </w:t>
      </w:r>
    </w:p>
    <w:p w14:paraId="4491D349" w14:textId="77777777" w:rsidR="008E5FDA" w:rsidRDefault="008E5FDA" w:rsidP="007372C8">
      <w:pPr>
        <w:jc w:val="both"/>
        <w:rPr>
          <w:rFonts w:ascii="Arial" w:hAnsi="Arial" w:cs="Arial"/>
          <w:sz w:val="24"/>
          <w:szCs w:val="24"/>
        </w:rPr>
      </w:pPr>
    </w:p>
    <w:p w14:paraId="29636479" w14:textId="77777777" w:rsidR="006E7135" w:rsidRDefault="00476129" w:rsidP="007372C8">
      <w:pPr>
        <w:jc w:val="both"/>
        <w:rPr>
          <w:rFonts w:ascii="Arial" w:hAnsi="Arial" w:cs="Arial"/>
          <w:sz w:val="24"/>
          <w:szCs w:val="24"/>
        </w:rPr>
      </w:pPr>
      <w:r>
        <w:rPr>
          <w:rFonts w:ascii="Arial" w:hAnsi="Arial" w:cs="Arial"/>
          <w:sz w:val="24"/>
          <w:szCs w:val="24"/>
        </w:rPr>
        <w:t xml:space="preserve">Affordability checks will also be made prior to sign up to ensure </w:t>
      </w:r>
      <w:r w:rsidR="008E5FDA">
        <w:rPr>
          <w:rFonts w:ascii="Arial" w:hAnsi="Arial" w:cs="Arial"/>
          <w:sz w:val="24"/>
          <w:szCs w:val="24"/>
        </w:rPr>
        <w:t xml:space="preserve">the prospective tenant is able to </w:t>
      </w:r>
      <w:r w:rsidR="00802EE3">
        <w:rPr>
          <w:rFonts w:ascii="Arial" w:hAnsi="Arial" w:cs="Arial"/>
          <w:sz w:val="24"/>
          <w:szCs w:val="24"/>
        </w:rPr>
        <w:t xml:space="preserve">pay the rent and any tenancy charges applicable from their income. </w:t>
      </w:r>
      <w:r w:rsidR="00A239BA">
        <w:rPr>
          <w:rFonts w:ascii="Arial" w:hAnsi="Arial" w:cs="Arial"/>
          <w:sz w:val="24"/>
          <w:szCs w:val="24"/>
        </w:rPr>
        <w:t>The checks will also</w:t>
      </w:r>
      <w:r w:rsidR="006226AA">
        <w:rPr>
          <w:rFonts w:ascii="Arial" w:hAnsi="Arial" w:cs="Arial"/>
          <w:sz w:val="24"/>
          <w:szCs w:val="24"/>
        </w:rPr>
        <w:t xml:space="preserve"> help to</w:t>
      </w:r>
      <w:r w:rsidR="00A239BA">
        <w:rPr>
          <w:rFonts w:ascii="Arial" w:hAnsi="Arial" w:cs="Arial"/>
          <w:sz w:val="24"/>
          <w:szCs w:val="24"/>
        </w:rPr>
        <w:t xml:space="preserve"> identify if the prospective tenant </w:t>
      </w:r>
      <w:r w:rsidR="00055D81">
        <w:rPr>
          <w:rFonts w:ascii="Arial" w:hAnsi="Arial" w:cs="Arial"/>
          <w:sz w:val="24"/>
          <w:szCs w:val="24"/>
        </w:rPr>
        <w:t>has any existing</w:t>
      </w:r>
      <w:r w:rsidR="006226AA">
        <w:rPr>
          <w:rFonts w:ascii="Arial" w:hAnsi="Arial" w:cs="Arial"/>
          <w:sz w:val="24"/>
          <w:szCs w:val="24"/>
        </w:rPr>
        <w:t xml:space="preserve"> debt that will affect their ability to </w:t>
      </w:r>
      <w:r w:rsidR="00055D81">
        <w:rPr>
          <w:rFonts w:ascii="Arial" w:hAnsi="Arial" w:cs="Arial"/>
          <w:sz w:val="24"/>
          <w:szCs w:val="24"/>
        </w:rPr>
        <w:t>pay their rent and tenancy charges/</w:t>
      </w:r>
    </w:p>
    <w:p w14:paraId="65123E56" w14:textId="77777777" w:rsidR="00707DDD" w:rsidRDefault="00707DDD" w:rsidP="007372C8">
      <w:pPr>
        <w:jc w:val="both"/>
        <w:rPr>
          <w:rFonts w:ascii="Arial" w:hAnsi="Arial" w:cs="Arial"/>
          <w:sz w:val="24"/>
          <w:szCs w:val="24"/>
        </w:rPr>
      </w:pPr>
    </w:p>
    <w:p w14:paraId="07EE54EB" w14:textId="5A54E85B" w:rsidR="00707DDD" w:rsidRDefault="00781D90" w:rsidP="007372C8">
      <w:pPr>
        <w:jc w:val="both"/>
        <w:rPr>
          <w:rFonts w:ascii="Arial" w:hAnsi="Arial" w:cs="Arial"/>
          <w:sz w:val="24"/>
          <w:szCs w:val="24"/>
        </w:rPr>
      </w:pPr>
      <w:r>
        <w:rPr>
          <w:rFonts w:ascii="Arial" w:hAnsi="Arial" w:cs="Arial"/>
          <w:sz w:val="24"/>
          <w:szCs w:val="24"/>
        </w:rPr>
        <w:t>Tenant</w:t>
      </w:r>
      <w:r w:rsidR="00B92321">
        <w:rPr>
          <w:rFonts w:ascii="Arial" w:hAnsi="Arial" w:cs="Arial"/>
          <w:sz w:val="24"/>
          <w:szCs w:val="24"/>
        </w:rPr>
        <w:t>s</w:t>
      </w:r>
      <w:r>
        <w:rPr>
          <w:rFonts w:ascii="Arial" w:hAnsi="Arial" w:cs="Arial"/>
          <w:sz w:val="24"/>
          <w:szCs w:val="24"/>
        </w:rPr>
        <w:t xml:space="preserve"> will be offered help and advice on </w:t>
      </w:r>
      <w:r w:rsidR="00B92321">
        <w:rPr>
          <w:rFonts w:ascii="Arial" w:hAnsi="Arial" w:cs="Arial"/>
          <w:sz w:val="24"/>
          <w:szCs w:val="24"/>
        </w:rPr>
        <w:t xml:space="preserve">money </w:t>
      </w:r>
      <w:r w:rsidR="002952EC">
        <w:rPr>
          <w:rFonts w:ascii="Arial" w:hAnsi="Arial" w:cs="Arial"/>
          <w:sz w:val="24"/>
          <w:szCs w:val="24"/>
        </w:rPr>
        <w:t xml:space="preserve">and debt </w:t>
      </w:r>
      <w:r w:rsidR="003336CE">
        <w:rPr>
          <w:rFonts w:ascii="Arial" w:hAnsi="Arial" w:cs="Arial"/>
          <w:sz w:val="24"/>
          <w:szCs w:val="24"/>
        </w:rPr>
        <w:t>management, welfare benefits</w:t>
      </w:r>
      <w:r w:rsidR="00B92321">
        <w:rPr>
          <w:rFonts w:ascii="Arial" w:hAnsi="Arial" w:cs="Arial"/>
          <w:sz w:val="24"/>
          <w:szCs w:val="24"/>
        </w:rPr>
        <w:t xml:space="preserve"> </w:t>
      </w:r>
      <w:r w:rsidR="002952EC">
        <w:rPr>
          <w:rFonts w:ascii="Arial" w:hAnsi="Arial" w:cs="Arial"/>
          <w:sz w:val="24"/>
          <w:szCs w:val="24"/>
        </w:rPr>
        <w:t>and assistance in co</w:t>
      </w:r>
      <w:r w:rsidR="005A53F5">
        <w:rPr>
          <w:rFonts w:ascii="Arial" w:hAnsi="Arial" w:cs="Arial"/>
          <w:sz w:val="24"/>
          <w:szCs w:val="24"/>
        </w:rPr>
        <w:t xml:space="preserve">mpleting their housing benefit / </w:t>
      </w:r>
      <w:r w:rsidR="002952EC">
        <w:rPr>
          <w:rFonts w:ascii="Arial" w:hAnsi="Arial" w:cs="Arial"/>
          <w:sz w:val="24"/>
          <w:szCs w:val="24"/>
        </w:rPr>
        <w:t>universal</w:t>
      </w:r>
      <w:r w:rsidR="003336CE">
        <w:rPr>
          <w:rFonts w:ascii="Arial" w:hAnsi="Arial" w:cs="Arial"/>
          <w:sz w:val="24"/>
          <w:szCs w:val="24"/>
        </w:rPr>
        <w:t xml:space="preserve"> c</w:t>
      </w:r>
      <w:r w:rsidR="005A53F5">
        <w:rPr>
          <w:rFonts w:ascii="Arial" w:hAnsi="Arial" w:cs="Arial"/>
          <w:sz w:val="24"/>
          <w:szCs w:val="24"/>
        </w:rPr>
        <w:t>redit</w:t>
      </w:r>
      <w:r w:rsidR="003336CE">
        <w:rPr>
          <w:rFonts w:ascii="Arial" w:hAnsi="Arial" w:cs="Arial"/>
          <w:sz w:val="24"/>
          <w:szCs w:val="24"/>
        </w:rPr>
        <w:t xml:space="preserve"> </w:t>
      </w:r>
      <w:r w:rsidR="00CE63A9">
        <w:rPr>
          <w:rFonts w:ascii="Arial" w:hAnsi="Arial" w:cs="Arial"/>
          <w:sz w:val="24"/>
          <w:szCs w:val="24"/>
        </w:rPr>
        <w:t>application.</w:t>
      </w:r>
    </w:p>
    <w:p w14:paraId="5D3C6F85" w14:textId="77777777" w:rsidR="002E4FE5" w:rsidRDefault="002E4FE5" w:rsidP="007372C8">
      <w:pPr>
        <w:jc w:val="both"/>
        <w:rPr>
          <w:rFonts w:ascii="Arial" w:hAnsi="Arial" w:cs="Arial"/>
          <w:sz w:val="24"/>
          <w:szCs w:val="24"/>
        </w:rPr>
      </w:pPr>
    </w:p>
    <w:p w14:paraId="728F2B56" w14:textId="77777777" w:rsidR="00045A2F" w:rsidRDefault="002E4FE5" w:rsidP="007372C8">
      <w:pPr>
        <w:jc w:val="both"/>
        <w:rPr>
          <w:rFonts w:ascii="Arial" w:hAnsi="Arial" w:cs="Arial"/>
          <w:sz w:val="24"/>
          <w:szCs w:val="24"/>
        </w:rPr>
      </w:pPr>
      <w:r>
        <w:rPr>
          <w:rFonts w:ascii="Arial" w:hAnsi="Arial" w:cs="Arial"/>
          <w:sz w:val="24"/>
          <w:szCs w:val="24"/>
        </w:rPr>
        <w:t>We will carry out a home visit to all new tenants within 6 weeks of sign up to discuss</w:t>
      </w:r>
      <w:r w:rsidR="0088587D">
        <w:rPr>
          <w:rFonts w:ascii="Arial" w:hAnsi="Arial" w:cs="Arial"/>
          <w:sz w:val="24"/>
          <w:szCs w:val="24"/>
        </w:rPr>
        <w:t>,</w:t>
      </w:r>
      <w:r>
        <w:rPr>
          <w:rFonts w:ascii="Arial" w:hAnsi="Arial" w:cs="Arial"/>
          <w:sz w:val="24"/>
          <w:szCs w:val="24"/>
        </w:rPr>
        <w:t xml:space="preserve"> </w:t>
      </w:r>
      <w:r w:rsidR="0088587D">
        <w:rPr>
          <w:rFonts w:ascii="Arial" w:hAnsi="Arial" w:cs="Arial"/>
          <w:sz w:val="24"/>
          <w:szCs w:val="24"/>
        </w:rPr>
        <w:t xml:space="preserve">amongst other things, </w:t>
      </w:r>
      <w:r>
        <w:rPr>
          <w:rFonts w:ascii="Arial" w:hAnsi="Arial" w:cs="Arial"/>
          <w:sz w:val="24"/>
          <w:szCs w:val="24"/>
        </w:rPr>
        <w:t>any issues</w:t>
      </w:r>
      <w:r w:rsidR="0088587D">
        <w:rPr>
          <w:rFonts w:ascii="Arial" w:hAnsi="Arial" w:cs="Arial"/>
          <w:sz w:val="24"/>
          <w:szCs w:val="24"/>
        </w:rPr>
        <w:t xml:space="preserve"> concerning rent</w:t>
      </w:r>
      <w:r w:rsidR="001E39DC">
        <w:rPr>
          <w:rFonts w:ascii="Arial" w:hAnsi="Arial" w:cs="Arial"/>
          <w:sz w:val="24"/>
          <w:szCs w:val="24"/>
        </w:rPr>
        <w:t xml:space="preserve"> / tenancy charge</w:t>
      </w:r>
      <w:r w:rsidR="0088587D">
        <w:rPr>
          <w:rFonts w:ascii="Arial" w:hAnsi="Arial" w:cs="Arial"/>
          <w:sz w:val="24"/>
          <w:szCs w:val="24"/>
        </w:rPr>
        <w:t xml:space="preserve"> payment / housing </w:t>
      </w:r>
      <w:r w:rsidR="00045A2F">
        <w:rPr>
          <w:rFonts w:ascii="Arial" w:hAnsi="Arial" w:cs="Arial"/>
          <w:sz w:val="24"/>
          <w:szCs w:val="24"/>
        </w:rPr>
        <w:t>benefit.</w:t>
      </w:r>
    </w:p>
    <w:p w14:paraId="797E8344" w14:textId="77777777" w:rsidR="00045A2F" w:rsidRDefault="00045A2F" w:rsidP="007372C8">
      <w:pPr>
        <w:jc w:val="both"/>
        <w:rPr>
          <w:rFonts w:ascii="Arial" w:hAnsi="Arial" w:cs="Arial"/>
          <w:sz w:val="24"/>
          <w:szCs w:val="24"/>
        </w:rPr>
      </w:pPr>
    </w:p>
    <w:p w14:paraId="057EBFD1" w14:textId="77777777" w:rsidR="00045A2F" w:rsidRPr="00045A2F" w:rsidRDefault="00045A2F" w:rsidP="007372C8">
      <w:pPr>
        <w:jc w:val="both"/>
        <w:rPr>
          <w:rFonts w:ascii="Arial" w:hAnsi="Arial" w:cs="Arial"/>
          <w:b/>
          <w:sz w:val="24"/>
          <w:szCs w:val="24"/>
        </w:rPr>
      </w:pPr>
      <w:r w:rsidRPr="00045A2F">
        <w:rPr>
          <w:rFonts w:ascii="Arial" w:hAnsi="Arial" w:cs="Arial"/>
          <w:b/>
          <w:sz w:val="24"/>
          <w:szCs w:val="24"/>
        </w:rPr>
        <w:t>Information and advice</w:t>
      </w:r>
    </w:p>
    <w:p w14:paraId="6A916EFE" w14:textId="77777777" w:rsidR="002E4FE5" w:rsidRDefault="0088587D" w:rsidP="007372C8">
      <w:pPr>
        <w:jc w:val="both"/>
        <w:rPr>
          <w:rFonts w:ascii="Arial" w:hAnsi="Arial" w:cs="Arial"/>
          <w:sz w:val="24"/>
          <w:szCs w:val="24"/>
        </w:rPr>
      </w:pPr>
      <w:r>
        <w:rPr>
          <w:rFonts w:ascii="Arial" w:hAnsi="Arial" w:cs="Arial"/>
          <w:sz w:val="24"/>
          <w:szCs w:val="24"/>
        </w:rPr>
        <w:t xml:space="preserve"> </w:t>
      </w:r>
      <w:r w:rsidR="002E6C08">
        <w:rPr>
          <w:rFonts w:ascii="Arial" w:hAnsi="Arial" w:cs="Arial"/>
          <w:sz w:val="24"/>
          <w:szCs w:val="24"/>
        </w:rPr>
        <w:t>We provide accurate information about rent accounts through the issue of an annual rent</w:t>
      </w:r>
      <w:r w:rsidR="001E39DC">
        <w:rPr>
          <w:rFonts w:ascii="Arial" w:hAnsi="Arial" w:cs="Arial"/>
          <w:sz w:val="24"/>
          <w:szCs w:val="24"/>
        </w:rPr>
        <w:t xml:space="preserve"> / tenancy charge</w:t>
      </w:r>
      <w:r w:rsidR="002E6C08">
        <w:rPr>
          <w:rFonts w:ascii="Arial" w:hAnsi="Arial" w:cs="Arial"/>
          <w:sz w:val="24"/>
          <w:szCs w:val="24"/>
        </w:rPr>
        <w:t xml:space="preserve"> statement summary. Up to date statements can also be requested at any time </w:t>
      </w:r>
      <w:r w:rsidR="003336CE">
        <w:rPr>
          <w:rFonts w:ascii="Arial" w:hAnsi="Arial" w:cs="Arial"/>
          <w:sz w:val="24"/>
          <w:szCs w:val="24"/>
        </w:rPr>
        <w:t>by tenants</w:t>
      </w:r>
      <w:r w:rsidR="00993C26">
        <w:rPr>
          <w:rFonts w:ascii="Arial" w:hAnsi="Arial" w:cs="Arial"/>
          <w:sz w:val="24"/>
          <w:szCs w:val="24"/>
        </w:rPr>
        <w:t xml:space="preserve"> from their </w:t>
      </w:r>
      <w:r w:rsidR="00FA27D0">
        <w:rPr>
          <w:rFonts w:ascii="Arial" w:hAnsi="Arial" w:cs="Arial"/>
          <w:sz w:val="24"/>
          <w:szCs w:val="24"/>
        </w:rPr>
        <w:t>Tenancy Services Officer or Tenancy Services Assistant</w:t>
      </w:r>
    </w:p>
    <w:p w14:paraId="685BFDB5" w14:textId="77777777" w:rsidR="002E6C08" w:rsidRDefault="002E6C08" w:rsidP="007372C8">
      <w:pPr>
        <w:jc w:val="both"/>
        <w:rPr>
          <w:rFonts w:ascii="Arial" w:hAnsi="Arial" w:cs="Arial"/>
          <w:sz w:val="24"/>
          <w:szCs w:val="24"/>
        </w:rPr>
      </w:pPr>
    </w:p>
    <w:p w14:paraId="2C20F720" w14:textId="77777777" w:rsidR="002E6C08" w:rsidRDefault="002E6C08" w:rsidP="007372C8">
      <w:pPr>
        <w:jc w:val="both"/>
        <w:rPr>
          <w:rFonts w:ascii="Arial" w:hAnsi="Arial" w:cs="Arial"/>
          <w:sz w:val="24"/>
          <w:szCs w:val="24"/>
        </w:rPr>
      </w:pPr>
      <w:r>
        <w:rPr>
          <w:rFonts w:ascii="Arial" w:hAnsi="Arial" w:cs="Arial"/>
          <w:sz w:val="24"/>
          <w:szCs w:val="24"/>
        </w:rPr>
        <w:t>All tenants will be advised of any changes to the rent payable and reason for the changes.</w:t>
      </w:r>
    </w:p>
    <w:p w14:paraId="07B54F76" w14:textId="77777777" w:rsidR="002E6C08" w:rsidRDefault="002E6C08" w:rsidP="007372C8">
      <w:pPr>
        <w:jc w:val="both"/>
        <w:rPr>
          <w:rFonts w:ascii="Arial" w:hAnsi="Arial" w:cs="Arial"/>
          <w:sz w:val="24"/>
          <w:szCs w:val="24"/>
        </w:rPr>
      </w:pPr>
    </w:p>
    <w:p w14:paraId="51B60442" w14:textId="77777777" w:rsidR="002E6C08" w:rsidRDefault="003336CE" w:rsidP="007372C8">
      <w:pPr>
        <w:jc w:val="both"/>
        <w:rPr>
          <w:rFonts w:ascii="Arial" w:hAnsi="Arial" w:cs="Arial"/>
          <w:sz w:val="24"/>
          <w:szCs w:val="24"/>
        </w:rPr>
      </w:pPr>
      <w:r>
        <w:rPr>
          <w:rFonts w:ascii="Arial" w:hAnsi="Arial" w:cs="Arial"/>
          <w:sz w:val="24"/>
          <w:szCs w:val="24"/>
        </w:rPr>
        <w:t>Although direct debit is the H</w:t>
      </w:r>
      <w:r w:rsidR="00AC27CC">
        <w:rPr>
          <w:rFonts w:ascii="Arial" w:hAnsi="Arial" w:cs="Arial"/>
          <w:sz w:val="24"/>
          <w:szCs w:val="24"/>
        </w:rPr>
        <w:t>ousing department’s preferred method of payment, w</w:t>
      </w:r>
      <w:r w:rsidR="007B0F0B">
        <w:rPr>
          <w:rFonts w:ascii="Arial" w:hAnsi="Arial" w:cs="Arial"/>
          <w:sz w:val="24"/>
          <w:szCs w:val="24"/>
        </w:rPr>
        <w:t xml:space="preserve">e offer a wide range of </w:t>
      </w:r>
      <w:r w:rsidR="00AC27CC">
        <w:rPr>
          <w:rFonts w:ascii="Arial" w:hAnsi="Arial" w:cs="Arial"/>
          <w:sz w:val="24"/>
          <w:szCs w:val="24"/>
        </w:rPr>
        <w:t xml:space="preserve">other </w:t>
      </w:r>
      <w:r w:rsidR="007B0F0B">
        <w:rPr>
          <w:rFonts w:ascii="Arial" w:hAnsi="Arial" w:cs="Arial"/>
          <w:sz w:val="24"/>
          <w:szCs w:val="24"/>
        </w:rPr>
        <w:t>payment methods to maximise the opportunities for tenants to pay their rent and to suit individual tenant’s needs and preferences. These methods include:</w:t>
      </w:r>
    </w:p>
    <w:p w14:paraId="4ECE4020" w14:textId="172851B8" w:rsidR="002268DD" w:rsidRDefault="00CE63A9" w:rsidP="007B0F0B">
      <w:pPr>
        <w:numPr>
          <w:ilvl w:val="0"/>
          <w:numId w:val="20"/>
        </w:numPr>
        <w:jc w:val="both"/>
        <w:rPr>
          <w:rFonts w:ascii="Arial" w:hAnsi="Arial" w:cs="Arial"/>
          <w:sz w:val="24"/>
          <w:szCs w:val="24"/>
        </w:rPr>
      </w:pPr>
      <w:r>
        <w:rPr>
          <w:rFonts w:ascii="Arial" w:hAnsi="Arial" w:cs="Arial"/>
          <w:sz w:val="24"/>
          <w:szCs w:val="24"/>
        </w:rPr>
        <w:t>24-hour</w:t>
      </w:r>
      <w:r w:rsidR="002268DD">
        <w:rPr>
          <w:rFonts w:ascii="Arial" w:hAnsi="Arial" w:cs="Arial"/>
          <w:sz w:val="24"/>
          <w:szCs w:val="24"/>
        </w:rPr>
        <w:t xml:space="preserve"> telephone payment facility</w:t>
      </w:r>
    </w:p>
    <w:p w14:paraId="597EF7E5" w14:textId="77777777" w:rsidR="002268DD" w:rsidRDefault="002268DD" w:rsidP="007B0F0B">
      <w:pPr>
        <w:numPr>
          <w:ilvl w:val="0"/>
          <w:numId w:val="20"/>
        </w:numPr>
        <w:jc w:val="both"/>
        <w:rPr>
          <w:rFonts w:ascii="Arial" w:hAnsi="Arial" w:cs="Arial"/>
          <w:sz w:val="24"/>
          <w:szCs w:val="24"/>
        </w:rPr>
      </w:pPr>
      <w:r>
        <w:rPr>
          <w:rFonts w:ascii="Arial" w:hAnsi="Arial" w:cs="Arial"/>
          <w:sz w:val="24"/>
          <w:szCs w:val="24"/>
        </w:rPr>
        <w:t>Payments via the internet</w:t>
      </w:r>
    </w:p>
    <w:p w14:paraId="76F8F816" w14:textId="77777777" w:rsidR="002268DD" w:rsidRDefault="002268DD" w:rsidP="007B0F0B">
      <w:pPr>
        <w:numPr>
          <w:ilvl w:val="0"/>
          <w:numId w:val="20"/>
        </w:numPr>
        <w:jc w:val="both"/>
        <w:rPr>
          <w:rFonts w:ascii="Arial" w:hAnsi="Arial" w:cs="Arial"/>
          <w:sz w:val="24"/>
          <w:szCs w:val="24"/>
        </w:rPr>
      </w:pPr>
      <w:proofErr w:type="spellStart"/>
      <w:r>
        <w:rPr>
          <w:rFonts w:ascii="Arial" w:hAnsi="Arial" w:cs="Arial"/>
          <w:sz w:val="24"/>
          <w:szCs w:val="24"/>
        </w:rPr>
        <w:t>Paypoint</w:t>
      </w:r>
      <w:proofErr w:type="spellEnd"/>
    </w:p>
    <w:p w14:paraId="48525369" w14:textId="5708A623" w:rsidR="002268DD" w:rsidRDefault="002268DD" w:rsidP="007B0F0B">
      <w:pPr>
        <w:numPr>
          <w:ilvl w:val="0"/>
          <w:numId w:val="20"/>
        </w:numPr>
        <w:jc w:val="both"/>
        <w:rPr>
          <w:rFonts w:ascii="Arial" w:hAnsi="Arial" w:cs="Arial"/>
          <w:sz w:val="24"/>
          <w:szCs w:val="24"/>
        </w:rPr>
      </w:pPr>
      <w:r>
        <w:rPr>
          <w:rFonts w:ascii="Arial" w:hAnsi="Arial" w:cs="Arial"/>
          <w:sz w:val="24"/>
          <w:szCs w:val="24"/>
        </w:rPr>
        <w:t xml:space="preserve">Post </w:t>
      </w:r>
      <w:r w:rsidR="00CE63A9">
        <w:rPr>
          <w:rFonts w:ascii="Arial" w:hAnsi="Arial" w:cs="Arial"/>
          <w:sz w:val="24"/>
          <w:szCs w:val="24"/>
        </w:rPr>
        <w:t>O</w:t>
      </w:r>
      <w:r>
        <w:rPr>
          <w:rFonts w:ascii="Arial" w:hAnsi="Arial" w:cs="Arial"/>
          <w:sz w:val="24"/>
          <w:szCs w:val="24"/>
        </w:rPr>
        <w:t>ffice</w:t>
      </w:r>
    </w:p>
    <w:p w14:paraId="1956C0E2" w14:textId="77777777" w:rsidR="002268DD" w:rsidRDefault="002268DD" w:rsidP="007B0F0B">
      <w:pPr>
        <w:numPr>
          <w:ilvl w:val="0"/>
          <w:numId w:val="20"/>
        </w:numPr>
        <w:jc w:val="both"/>
        <w:rPr>
          <w:rFonts w:ascii="Arial" w:hAnsi="Arial" w:cs="Arial"/>
          <w:sz w:val="24"/>
          <w:szCs w:val="24"/>
        </w:rPr>
      </w:pPr>
      <w:r>
        <w:rPr>
          <w:rFonts w:ascii="Arial" w:hAnsi="Arial" w:cs="Arial"/>
          <w:sz w:val="24"/>
          <w:szCs w:val="24"/>
        </w:rPr>
        <w:t>Payment in person at Civic Centre</w:t>
      </w:r>
    </w:p>
    <w:p w14:paraId="30325A7F" w14:textId="77777777" w:rsidR="002268DD" w:rsidRDefault="002268DD" w:rsidP="002268DD">
      <w:pPr>
        <w:jc w:val="both"/>
        <w:rPr>
          <w:rFonts w:ascii="Arial" w:hAnsi="Arial" w:cs="Arial"/>
          <w:sz w:val="24"/>
          <w:szCs w:val="24"/>
        </w:rPr>
      </w:pPr>
    </w:p>
    <w:p w14:paraId="16C67D0D" w14:textId="77777777" w:rsidR="002268DD" w:rsidRDefault="00ED2EF4" w:rsidP="002268DD">
      <w:pPr>
        <w:jc w:val="both"/>
        <w:rPr>
          <w:rFonts w:ascii="Arial" w:hAnsi="Arial" w:cs="Arial"/>
          <w:sz w:val="24"/>
          <w:szCs w:val="24"/>
        </w:rPr>
      </w:pPr>
      <w:r>
        <w:rPr>
          <w:rFonts w:ascii="Arial" w:hAnsi="Arial" w:cs="Arial"/>
          <w:sz w:val="24"/>
          <w:szCs w:val="24"/>
        </w:rPr>
        <w:t xml:space="preserve">We will continue to review our payment methods in consultation with tenants. </w:t>
      </w:r>
    </w:p>
    <w:p w14:paraId="57B81711" w14:textId="77777777" w:rsidR="0093634B" w:rsidRDefault="0093634B" w:rsidP="002268DD">
      <w:pPr>
        <w:jc w:val="both"/>
        <w:rPr>
          <w:rFonts w:ascii="Arial" w:hAnsi="Arial" w:cs="Arial"/>
          <w:sz w:val="24"/>
          <w:szCs w:val="24"/>
        </w:rPr>
      </w:pPr>
    </w:p>
    <w:p w14:paraId="4C59BB9F" w14:textId="77777777" w:rsidR="005A53F5" w:rsidRDefault="005A53F5" w:rsidP="002268DD">
      <w:pPr>
        <w:jc w:val="both"/>
        <w:rPr>
          <w:rFonts w:ascii="Arial" w:hAnsi="Arial" w:cs="Arial"/>
          <w:b/>
          <w:sz w:val="24"/>
          <w:szCs w:val="24"/>
        </w:rPr>
      </w:pPr>
    </w:p>
    <w:p w14:paraId="297F9170" w14:textId="77777777" w:rsidR="005A53F5" w:rsidRDefault="005A53F5" w:rsidP="002268DD">
      <w:pPr>
        <w:jc w:val="both"/>
        <w:rPr>
          <w:rFonts w:ascii="Arial" w:hAnsi="Arial" w:cs="Arial"/>
          <w:b/>
          <w:sz w:val="24"/>
          <w:szCs w:val="24"/>
        </w:rPr>
      </w:pPr>
    </w:p>
    <w:p w14:paraId="1DFB44E4" w14:textId="77777777" w:rsidR="00C330EA" w:rsidRDefault="00C330EA" w:rsidP="002268DD">
      <w:pPr>
        <w:jc w:val="both"/>
        <w:rPr>
          <w:rFonts w:ascii="Arial" w:hAnsi="Arial" w:cs="Arial"/>
          <w:b/>
          <w:sz w:val="24"/>
          <w:szCs w:val="24"/>
        </w:rPr>
      </w:pPr>
    </w:p>
    <w:p w14:paraId="4B8E9214" w14:textId="77777777" w:rsidR="00C330EA" w:rsidRDefault="00C330EA" w:rsidP="002268DD">
      <w:pPr>
        <w:jc w:val="both"/>
        <w:rPr>
          <w:rFonts w:ascii="Arial" w:hAnsi="Arial" w:cs="Arial"/>
          <w:b/>
          <w:sz w:val="24"/>
          <w:szCs w:val="24"/>
        </w:rPr>
      </w:pPr>
    </w:p>
    <w:p w14:paraId="3786EC66" w14:textId="77777777" w:rsidR="005A53F5" w:rsidRDefault="005A53F5" w:rsidP="002268DD">
      <w:pPr>
        <w:jc w:val="both"/>
        <w:rPr>
          <w:rFonts w:ascii="Arial" w:hAnsi="Arial" w:cs="Arial"/>
          <w:b/>
          <w:sz w:val="24"/>
          <w:szCs w:val="24"/>
        </w:rPr>
      </w:pPr>
    </w:p>
    <w:p w14:paraId="4E27C472" w14:textId="77777777" w:rsidR="0093634B" w:rsidRPr="0093634B" w:rsidRDefault="00993C26" w:rsidP="002268DD">
      <w:pPr>
        <w:jc w:val="both"/>
        <w:rPr>
          <w:rFonts w:ascii="Arial" w:hAnsi="Arial" w:cs="Arial"/>
          <w:b/>
          <w:sz w:val="24"/>
          <w:szCs w:val="24"/>
        </w:rPr>
      </w:pPr>
      <w:r>
        <w:rPr>
          <w:rFonts w:ascii="Arial" w:hAnsi="Arial" w:cs="Arial"/>
          <w:b/>
          <w:sz w:val="24"/>
          <w:szCs w:val="24"/>
        </w:rPr>
        <w:t xml:space="preserve">Recovery of </w:t>
      </w:r>
      <w:r w:rsidR="0093634B" w:rsidRPr="0093634B">
        <w:rPr>
          <w:rFonts w:ascii="Arial" w:hAnsi="Arial" w:cs="Arial"/>
          <w:b/>
          <w:sz w:val="24"/>
          <w:szCs w:val="24"/>
        </w:rPr>
        <w:t>arrears</w:t>
      </w:r>
    </w:p>
    <w:p w14:paraId="66A81683" w14:textId="77777777" w:rsidR="002E6C08" w:rsidRDefault="002E6C08" w:rsidP="007372C8">
      <w:pPr>
        <w:jc w:val="both"/>
        <w:rPr>
          <w:rFonts w:ascii="Arial" w:hAnsi="Arial" w:cs="Arial"/>
          <w:sz w:val="24"/>
          <w:szCs w:val="24"/>
        </w:rPr>
      </w:pPr>
      <w:r>
        <w:rPr>
          <w:rFonts w:ascii="Arial" w:hAnsi="Arial" w:cs="Arial"/>
          <w:sz w:val="24"/>
          <w:szCs w:val="24"/>
        </w:rPr>
        <w:t xml:space="preserve"> </w:t>
      </w:r>
      <w:r w:rsidR="00CB1414">
        <w:rPr>
          <w:rFonts w:ascii="Arial" w:hAnsi="Arial" w:cs="Arial"/>
          <w:sz w:val="24"/>
          <w:szCs w:val="24"/>
        </w:rPr>
        <w:t>We progress the recovery of arrears in accordance with our rent</w:t>
      </w:r>
      <w:r w:rsidR="00993C26">
        <w:rPr>
          <w:rFonts w:ascii="Arial" w:hAnsi="Arial" w:cs="Arial"/>
          <w:sz w:val="24"/>
          <w:szCs w:val="24"/>
        </w:rPr>
        <w:t xml:space="preserve"> and tenancy charge</w:t>
      </w:r>
      <w:r w:rsidR="00CB1414">
        <w:rPr>
          <w:rFonts w:ascii="Arial" w:hAnsi="Arial" w:cs="Arial"/>
          <w:sz w:val="24"/>
          <w:szCs w:val="24"/>
        </w:rPr>
        <w:t xml:space="preserve"> recovery procedures, with an emphasis on maintaining regular personal contact through the recovery process.</w:t>
      </w:r>
    </w:p>
    <w:p w14:paraId="59749C45" w14:textId="77777777" w:rsidR="00882A70" w:rsidRDefault="00882A70" w:rsidP="007372C8">
      <w:pPr>
        <w:jc w:val="both"/>
        <w:rPr>
          <w:rFonts w:ascii="Arial" w:hAnsi="Arial" w:cs="Arial"/>
          <w:sz w:val="24"/>
          <w:szCs w:val="24"/>
        </w:rPr>
      </w:pPr>
    </w:p>
    <w:p w14:paraId="699BE67E" w14:textId="77777777" w:rsidR="00B62DAB" w:rsidRDefault="00882A70" w:rsidP="007372C8">
      <w:pPr>
        <w:jc w:val="both"/>
        <w:rPr>
          <w:rFonts w:ascii="Arial" w:hAnsi="Arial" w:cs="Arial"/>
          <w:sz w:val="24"/>
          <w:szCs w:val="24"/>
        </w:rPr>
      </w:pPr>
      <w:r>
        <w:rPr>
          <w:rFonts w:ascii="Arial" w:hAnsi="Arial" w:cs="Arial"/>
          <w:sz w:val="24"/>
          <w:szCs w:val="24"/>
        </w:rPr>
        <w:t>We will make sure early contact is made with all tenants in arrears, so that they are aware of the support and advice we can offer</w:t>
      </w:r>
      <w:r w:rsidR="005F33AB">
        <w:rPr>
          <w:rFonts w:ascii="Arial" w:hAnsi="Arial" w:cs="Arial"/>
          <w:sz w:val="24"/>
          <w:szCs w:val="24"/>
        </w:rPr>
        <w:t xml:space="preserve"> and </w:t>
      </w:r>
      <w:r w:rsidR="00B62DAB">
        <w:rPr>
          <w:rFonts w:ascii="Arial" w:hAnsi="Arial" w:cs="Arial"/>
          <w:sz w:val="24"/>
          <w:szCs w:val="24"/>
        </w:rPr>
        <w:t xml:space="preserve">aim to reach an agreement (payment plan) with the tenant to pay off any arrears over a reasonable </w:t>
      </w:r>
      <w:proofErr w:type="gramStart"/>
      <w:r w:rsidR="00B62DAB">
        <w:rPr>
          <w:rFonts w:ascii="Arial" w:hAnsi="Arial" w:cs="Arial"/>
          <w:sz w:val="24"/>
          <w:szCs w:val="24"/>
        </w:rPr>
        <w:t>period of time</w:t>
      </w:r>
      <w:proofErr w:type="gramEnd"/>
      <w:r w:rsidR="00B62DAB">
        <w:rPr>
          <w:rFonts w:ascii="Arial" w:hAnsi="Arial" w:cs="Arial"/>
          <w:sz w:val="24"/>
          <w:szCs w:val="24"/>
        </w:rPr>
        <w:t>, which is both manageable to the tenant and acceptable to Landlord Services.</w:t>
      </w:r>
    </w:p>
    <w:p w14:paraId="1CE67167" w14:textId="77777777" w:rsidR="00993C26" w:rsidRDefault="00993C26" w:rsidP="007372C8">
      <w:pPr>
        <w:jc w:val="both"/>
        <w:rPr>
          <w:rFonts w:ascii="Arial" w:hAnsi="Arial" w:cs="Arial"/>
          <w:sz w:val="24"/>
          <w:szCs w:val="24"/>
        </w:rPr>
      </w:pPr>
    </w:p>
    <w:p w14:paraId="4F993909" w14:textId="77777777" w:rsidR="00993C26" w:rsidRDefault="00166949" w:rsidP="007372C8">
      <w:pPr>
        <w:jc w:val="both"/>
        <w:rPr>
          <w:rFonts w:ascii="Arial" w:hAnsi="Arial" w:cs="Arial"/>
          <w:sz w:val="24"/>
          <w:szCs w:val="24"/>
        </w:rPr>
      </w:pPr>
      <w:r>
        <w:rPr>
          <w:rFonts w:ascii="Arial" w:hAnsi="Arial" w:cs="Arial"/>
          <w:sz w:val="24"/>
          <w:szCs w:val="24"/>
        </w:rPr>
        <w:t>Support services provided by the Council to assist with arrears management include</w:t>
      </w:r>
      <w:r w:rsidR="00993C26">
        <w:rPr>
          <w:rFonts w:ascii="Arial" w:hAnsi="Arial" w:cs="Arial"/>
          <w:sz w:val="24"/>
          <w:szCs w:val="24"/>
        </w:rPr>
        <w:t>:</w:t>
      </w:r>
    </w:p>
    <w:p w14:paraId="442DE616" w14:textId="77777777" w:rsidR="00BE2836" w:rsidRDefault="00BE2836" w:rsidP="007372C8">
      <w:pPr>
        <w:jc w:val="both"/>
        <w:rPr>
          <w:rFonts w:ascii="Arial" w:hAnsi="Arial" w:cs="Arial"/>
          <w:sz w:val="24"/>
          <w:szCs w:val="24"/>
        </w:rPr>
      </w:pPr>
    </w:p>
    <w:p w14:paraId="2FE0AF56" w14:textId="77777777" w:rsidR="00993C26" w:rsidRDefault="00993C26" w:rsidP="00993C26">
      <w:pPr>
        <w:numPr>
          <w:ilvl w:val="0"/>
          <w:numId w:val="23"/>
        </w:numPr>
        <w:jc w:val="both"/>
        <w:rPr>
          <w:rFonts w:ascii="Arial" w:hAnsi="Arial" w:cs="Arial"/>
          <w:sz w:val="24"/>
          <w:szCs w:val="24"/>
        </w:rPr>
      </w:pPr>
      <w:r>
        <w:rPr>
          <w:rFonts w:ascii="Arial" w:hAnsi="Arial" w:cs="Arial"/>
          <w:sz w:val="24"/>
          <w:szCs w:val="24"/>
        </w:rPr>
        <w:t>Tenancy support</w:t>
      </w:r>
    </w:p>
    <w:p w14:paraId="59B34BCF" w14:textId="77777777" w:rsidR="00993C26" w:rsidRDefault="00993C26" w:rsidP="00993C26">
      <w:pPr>
        <w:numPr>
          <w:ilvl w:val="0"/>
          <w:numId w:val="23"/>
        </w:numPr>
        <w:jc w:val="both"/>
        <w:rPr>
          <w:rFonts w:ascii="Arial" w:hAnsi="Arial" w:cs="Arial"/>
          <w:sz w:val="24"/>
          <w:szCs w:val="24"/>
        </w:rPr>
      </w:pPr>
      <w:r>
        <w:rPr>
          <w:rFonts w:ascii="Arial" w:hAnsi="Arial" w:cs="Arial"/>
          <w:sz w:val="24"/>
          <w:szCs w:val="24"/>
        </w:rPr>
        <w:t>Welfare rights advice</w:t>
      </w:r>
    </w:p>
    <w:p w14:paraId="4E702EAC" w14:textId="77777777" w:rsidR="00993C26" w:rsidRDefault="00993C26" w:rsidP="00993C26">
      <w:pPr>
        <w:numPr>
          <w:ilvl w:val="0"/>
          <w:numId w:val="23"/>
        </w:numPr>
        <w:jc w:val="both"/>
        <w:rPr>
          <w:rFonts w:ascii="Arial" w:hAnsi="Arial" w:cs="Arial"/>
          <w:sz w:val="24"/>
          <w:szCs w:val="24"/>
        </w:rPr>
      </w:pPr>
      <w:r>
        <w:rPr>
          <w:rFonts w:ascii="Arial" w:hAnsi="Arial" w:cs="Arial"/>
          <w:sz w:val="24"/>
          <w:szCs w:val="24"/>
        </w:rPr>
        <w:t>Specialist money advice</w:t>
      </w:r>
    </w:p>
    <w:p w14:paraId="40BB5A98" w14:textId="77777777" w:rsidR="00625988" w:rsidRDefault="00625988" w:rsidP="00625988">
      <w:pPr>
        <w:jc w:val="both"/>
        <w:rPr>
          <w:rFonts w:ascii="Arial" w:hAnsi="Arial" w:cs="Arial"/>
          <w:sz w:val="24"/>
          <w:szCs w:val="24"/>
        </w:rPr>
      </w:pPr>
    </w:p>
    <w:p w14:paraId="6E8F5873" w14:textId="77777777" w:rsidR="00625988" w:rsidRDefault="00625988" w:rsidP="00625988">
      <w:pPr>
        <w:jc w:val="both"/>
        <w:rPr>
          <w:rFonts w:ascii="Arial" w:hAnsi="Arial" w:cs="Arial"/>
          <w:sz w:val="24"/>
          <w:szCs w:val="24"/>
        </w:rPr>
      </w:pPr>
      <w:r>
        <w:rPr>
          <w:rFonts w:ascii="Arial" w:hAnsi="Arial" w:cs="Arial"/>
          <w:sz w:val="24"/>
          <w:szCs w:val="24"/>
        </w:rPr>
        <w:t xml:space="preserve">We will also provide </w:t>
      </w:r>
      <w:r w:rsidR="00BE2836">
        <w:rPr>
          <w:rFonts w:ascii="Arial" w:hAnsi="Arial" w:cs="Arial"/>
          <w:sz w:val="24"/>
          <w:szCs w:val="24"/>
        </w:rPr>
        <w:t>details of</w:t>
      </w:r>
      <w:r>
        <w:rPr>
          <w:rFonts w:ascii="Arial" w:hAnsi="Arial" w:cs="Arial"/>
          <w:sz w:val="24"/>
          <w:szCs w:val="24"/>
        </w:rPr>
        <w:t xml:space="preserve"> external agencies that may be able to provide advice and support including:</w:t>
      </w:r>
    </w:p>
    <w:p w14:paraId="0C412ED0" w14:textId="77777777" w:rsidR="00BE2836" w:rsidRDefault="00BE2836" w:rsidP="00625988">
      <w:pPr>
        <w:jc w:val="both"/>
        <w:rPr>
          <w:rFonts w:ascii="Arial" w:hAnsi="Arial" w:cs="Arial"/>
          <w:sz w:val="24"/>
          <w:szCs w:val="24"/>
        </w:rPr>
      </w:pPr>
    </w:p>
    <w:p w14:paraId="3BAD9EEE" w14:textId="77777777" w:rsidR="00625988" w:rsidRDefault="00625988" w:rsidP="00625988">
      <w:pPr>
        <w:numPr>
          <w:ilvl w:val="0"/>
          <w:numId w:val="24"/>
        </w:numPr>
        <w:jc w:val="both"/>
        <w:rPr>
          <w:rFonts w:ascii="Arial" w:hAnsi="Arial" w:cs="Arial"/>
          <w:sz w:val="24"/>
          <w:szCs w:val="24"/>
        </w:rPr>
      </w:pPr>
      <w:r>
        <w:rPr>
          <w:rFonts w:ascii="Arial" w:hAnsi="Arial" w:cs="Arial"/>
          <w:sz w:val="24"/>
          <w:szCs w:val="24"/>
        </w:rPr>
        <w:t xml:space="preserve">Citizens </w:t>
      </w:r>
      <w:r w:rsidR="00BE2836">
        <w:rPr>
          <w:rFonts w:ascii="Arial" w:hAnsi="Arial" w:cs="Arial"/>
          <w:sz w:val="24"/>
          <w:szCs w:val="24"/>
        </w:rPr>
        <w:t>Advice Bureau</w:t>
      </w:r>
    </w:p>
    <w:p w14:paraId="0EB6E13D" w14:textId="77777777" w:rsidR="00BE2836" w:rsidRDefault="00BE2836" w:rsidP="00625988">
      <w:pPr>
        <w:numPr>
          <w:ilvl w:val="0"/>
          <w:numId w:val="24"/>
        </w:numPr>
        <w:jc w:val="both"/>
        <w:rPr>
          <w:rFonts w:ascii="Arial" w:hAnsi="Arial" w:cs="Arial"/>
          <w:sz w:val="24"/>
          <w:szCs w:val="24"/>
        </w:rPr>
      </w:pPr>
      <w:r>
        <w:rPr>
          <w:rFonts w:ascii="Arial" w:hAnsi="Arial" w:cs="Arial"/>
          <w:sz w:val="24"/>
          <w:szCs w:val="24"/>
        </w:rPr>
        <w:t>Unemployed Workers Centre</w:t>
      </w:r>
    </w:p>
    <w:p w14:paraId="18EB8D4C" w14:textId="77777777" w:rsidR="00B62DAB" w:rsidRDefault="00B62DAB" w:rsidP="007372C8">
      <w:pPr>
        <w:jc w:val="both"/>
        <w:rPr>
          <w:rFonts w:ascii="Arial" w:hAnsi="Arial" w:cs="Arial"/>
          <w:sz w:val="24"/>
          <w:szCs w:val="24"/>
        </w:rPr>
      </w:pPr>
    </w:p>
    <w:p w14:paraId="1F984F90" w14:textId="77777777" w:rsidR="00B62DAB" w:rsidRDefault="00FE2423" w:rsidP="007372C8">
      <w:pPr>
        <w:jc w:val="both"/>
        <w:rPr>
          <w:rFonts w:ascii="Arial" w:hAnsi="Arial" w:cs="Arial"/>
          <w:sz w:val="24"/>
          <w:szCs w:val="24"/>
        </w:rPr>
      </w:pPr>
      <w:r>
        <w:rPr>
          <w:rFonts w:ascii="Arial" w:hAnsi="Arial" w:cs="Arial"/>
          <w:sz w:val="24"/>
          <w:szCs w:val="24"/>
        </w:rPr>
        <w:t xml:space="preserve">Legal proceedings to repossess a property will be instigated where there is a serious level of persistent </w:t>
      </w:r>
      <w:proofErr w:type="gramStart"/>
      <w:r>
        <w:rPr>
          <w:rFonts w:ascii="Arial" w:hAnsi="Arial" w:cs="Arial"/>
          <w:sz w:val="24"/>
          <w:szCs w:val="24"/>
        </w:rPr>
        <w:t>arrears</w:t>
      </w:r>
      <w:proofErr w:type="gramEnd"/>
      <w:r>
        <w:rPr>
          <w:rFonts w:ascii="Arial" w:hAnsi="Arial" w:cs="Arial"/>
          <w:sz w:val="24"/>
          <w:szCs w:val="24"/>
        </w:rPr>
        <w:t xml:space="preserve"> and the tenant will not make or adhere to an agreement with Landlord Services to reduce the arrears. This action will be used as a last resort.</w:t>
      </w:r>
    </w:p>
    <w:p w14:paraId="31310E92" w14:textId="77777777" w:rsidR="00FE2423" w:rsidRDefault="00FE2423" w:rsidP="007372C8">
      <w:pPr>
        <w:jc w:val="both"/>
        <w:rPr>
          <w:rFonts w:ascii="Arial" w:hAnsi="Arial" w:cs="Arial"/>
          <w:sz w:val="24"/>
          <w:szCs w:val="24"/>
        </w:rPr>
      </w:pPr>
    </w:p>
    <w:p w14:paraId="4208C6EA" w14:textId="77777777" w:rsidR="00FE2423" w:rsidRDefault="00FE2423" w:rsidP="007372C8">
      <w:pPr>
        <w:jc w:val="both"/>
        <w:rPr>
          <w:rFonts w:ascii="Arial" w:hAnsi="Arial" w:cs="Arial"/>
          <w:sz w:val="24"/>
          <w:szCs w:val="24"/>
        </w:rPr>
      </w:pPr>
      <w:r>
        <w:rPr>
          <w:rFonts w:ascii="Arial" w:hAnsi="Arial" w:cs="Arial"/>
          <w:sz w:val="24"/>
          <w:szCs w:val="24"/>
        </w:rPr>
        <w:t xml:space="preserve">We will ensure that all cases progressed to court comply with the pre- action protocol and relevant statutory requirements. At all stages of the legal </w:t>
      </w:r>
      <w:proofErr w:type="gramStart"/>
      <w:r>
        <w:rPr>
          <w:rFonts w:ascii="Arial" w:hAnsi="Arial" w:cs="Arial"/>
          <w:sz w:val="24"/>
          <w:szCs w:val="24"/>
        </w:rPr>
        <w:t>process</w:t>
      </w:r>
      <w:proofErr w:type="gramEnd"/>
      <w:r>
        <w:rPr>
          <w:rFonts w:ascii="Arial" w:hAnsi="Arial" w:cs="Arial"/>
          <w:sz w:val="24"/>
          <w:szCs w:val="24"/>
        </w:rPr>
        <w:t xml:space="preserve"> we will inform the tenant of the reasons for the action and where they can get support and advice.</w:t>
      </w:r>
    </w:p>
    <w:p w14:paraId="65C3CA9C" w14:textId="77777777" w:rsidR="00FE2423" w:rsidRDefault="00FE2423" w:rsidP="007372C8">
      <w:pPr>
        <w:jc w:val="both"/>
        <w:rPr>
          <w:rFonts w:ascii="Arial" w:hAnsi="Arial" w:cs="Arial"/>
          <w:sz w:val="24"/>
          <w:szCs w:val="24"/>
        </w:rPr>
      </w:pPr>
    </w:p>
    <w:p w14:paraId="2340A714" w14:textId="77777777" w:rsidR="00FE2423" w:rsidRDefault="00FE2423" w:rsidP="007372C8">
      <w:pPr>
        <w:jc w:val="both"/>
        <w:rPr>
          <w:rFonts w:ascii="Arial" w:hAnsi="Arial" w:cs="Arial"/>
          <w:sz w:val="24"/>
          <w:szCs w:val="24"/>
        </w:rPr>
      </w:pPr>
      <w:r>
        <w:rPr>
          <w:rFonts w:ascii="Arial" w:hAnsi="Arial" w:cs="Arial"/>
          <w:sz w:val="24"/>
          <w:szCs w:val="24"/>
        </w:rPr>
        <w:t xml:space="preserve">Where legal proceedings take place Landlord Services will request an order for </w:t>
      </w:r>
      <w:r w:rsidR="00736C22">
        <w:rPr>
          <w:rFonts w:ascii="Arial" w:hAnsi="Arial" w:cs="Arial"/>
          <w:sz w:val="24"/>
          <w:szCs w:val="24"/>
        </w:rPr>
        <w:t>c</w:t>
      </w:r>
      <w:r>
        <w:rPr>
          <w:rFonts w:ascii="Arial" w:hAnsi="Arial" w:cs="Arial"/>
          <w:sz w:val="24"/>
          <w:szCs w:val="24"/>
        </w:rPr>
        <w:t>ourt costs and reasonable legal costs to be recharged to the tenant</w:t>
      </w:r>
      <w:r w:rsidR="003D119F">
        <w:rPr>
          <w:rFonts w:ascii="Arial" w:hAnsi="Arial" w:cs="Arial"/>
          <w:sz w:val="24"/>
          <w:szCs w:val="24"/>
        </w:rPr>
        <w:t xml:space="preserve"> and will only make an application for an eviction warrant where a suspended possession order has been breached and all other </w:t>
      </w:r>
      <w:r w:rsidR="00166949">
        <w:rPr>
          <w:rFonts w:ascii="Arial" w:hAnsi="Arial" w:cs="Arial"/>
          <w:sz w:val="24"/>
          <w:szCs w:val="24"/>
        </w:rPr>
        <w:t xml:space="preserve">reasonable </w:t>
      </w:r>
      <w:r w:rsidR="003D119F">
        <w:rPr>
          <w:rFonts w:ascii="Arial" w:hAnsi="Arial" w:cs="Arial"/>
          <w:sz w:val="24"/>
          <w:szCs w:val="24"/>
        </w:rPr>
        <w:t>action has failed.</w:t>
      </w:r>
    </w:p>
    <w:p w14:paraId="02566D08" w14:textId="77777777" w:rsidR="003D119F" w:rsidRDefault="003D119F" w:rsidP="007372C8">
      <w:pPr>
        <w:jc w:val="both"/>
        <w:rPr>
          <w:rFonts w:ascii="Arial" w:hAnsi="Arial" w:cs="Arial"/>
          <w:sz w:val="24"/>
          <w:szCs w:val="24"/>
        </w:rPr>
      </w:pPr>
    </w:p>
    <w:p w14:paraId="48A17950" w14:textId="77777777" w:rsidR="003D119F" w:rsidRPr="003D119F" w:rsidRDefault="003D119F" w:rsidP="007372C8">
      <w:pPr>
        <w:jc w:val="both"/>
        <w:rPr>
          <w:rFonts w:ascii="Arial" w:hAnsi="Arial" w:cs="Arial"/>
          <w:b/>
          <w:sz w:val="24"/>
          <w:szCs w:val="24"/>
        </w:rPr>
      </w:pPr>
      <w:r w:rsidRPr="003D119F">
        <w:rPr>
          <w:rFonts w:ascii="Arial" w:hAnsi="Arial" w:cs="Arial"/>
          <w:b/>
          <w:sz w:val="24"/>
          <w:szCs w:val="24"/>
        </w:rPr>
        <w:t>Former tenant arrears</w:t>
      </w:r>
    </w:p>
    <w:p w14:paraId="75B7CEC0" w14:textId="77777777" w:rsidR="003D119F" w:rsidRDefault="002975B9" w:rsidP="007372C8">
      <w:pPr>
        <w:jc w:val="both"/>
        <w:rPr>
          <w:rFonts w:ascii="Arial" w:hAnsi="Arial" w:cs="Arial"/>
          <w:sz w:val="24"/>
          <w:szCs w:val="24"/>
        </w:rPr>
      </w:pPr>
      <w:r>
        <w:rPr>
          <w:rFonts w:ascii="Arial" w:hAnsi="Arial" w:cs="Arial"/>
          <w:sz w:val="24"/>
          <w:szCs w:val="24"/>
        </w:rPr>
        <w:t xml:space="preserve">All former tenants’ arrears will be pursued. Landlord Services </w:t>
      </w:r>
      <w:r w:rsidR="00E761D0">
        <w:rPr>
          <w:rFonts w:ascii="Arial" w:hAnsi="Arial" w:cs="Arial"/>
          <w:sz w:val="24"/>
          <w:szCs w:val="24"/>
        </w:rPr>
        <w:t xml:space="preserve">will make every effort to trace and contact debtors and </w:t>
      </w:r>
      <w:proofErr w:type="gramStart"/>
      <w:r w:rsidR="00E761D0">
        <w:rPr>
          <w:rFonts w:ascii="Arial" w:hAnsi="Arial" w:cs="Arial"/>
          <w:sz w:val="24"/>
          <w:szCs w:val="24"/>
        </w:rPr>
        <w:t>make an arrangement</w:t>
      </w:r>
      <w:proofErr w:type="gramEnd"/>
      <w:r w:rsidR="00E761D0">
        <w:rPr>
          <w:rFonts w:ascii="Arial" w:hAnsi="Arial" w:cs="Arial"/>
          <w:sz w:val="24"/>
          <w:szCs w:val="24"/>
        </w:rPr>
        <w:t xml:space="preserve"> to recover the debt. Where the debt remains unpaid Landlord Services may use debt recovery agencies.</w:t>
      </w:r>
    </w:p>
    <w:p w14:paraId="278380AE" w14:textId="77777777" w:rsidR="00513441" w:rsidRDefault="00513441" w:rsidP="007372C8">
      <w:pPr>
        <w:jc w:val="both"/>
        <w:rPr>
          <w:rFonts w:ascii="Arial" w:hAnsi="Arial" w:cs="Arial"/>
          <w:sz w:val="24"/>
          <w:szCs w:val="24"/>
        </w:rPr>
      </w:pPr>
    </w:p>
    <w:p w14:paraId="7AEC6075" w14:textId="77777777" w:rsidR="00166949" w:rsidRDefault="00166949" w:rsidP="007372C8">
      <w:pPr>
        <w:jc w:val="both"/>
        <w:rPr>
          <w:rFonts w:ascii="Arial" w:hAnsi="Arial" w:cs="Arial"/>
          <w:sz w:val="24"/>
          <w:szCs w:val="24"/>
        </w:rPr>
      </w:pPr>
    </w:p>
    <w:p w14:paraId="13B96062" w14:textId="77777777" w:rsidR="00372E6F" w:rsidRDefault="00372E6F" w:rsidP="007372C8">
      <w:pPr>
        <w:jc w:val="both"/>
        <w:rPr>
          <w:rFonts w:ascii="Arial" w:hAnsi="Arial" w:cs="Arial"/>
          <w:sz w:val="24"/>
          <w:szCs w:val="24"/>
        </w:rPr>
      </w:pPr>
    </w:p>
    <w:p w14:paraId="5F3D0153" w14:textId="77777777" w:rsidR="00372E6F" w:rsidRDefault="00372E6F" w:rsidP="007372C8">
      <w:pPr>
        <w:jc w:val="both"/>
        <w:rPr>
          <w:rFonts w:ascii="Arial" w:hAnsi="Arial" w:cs="Arial"/>
          <w:sz w:val="24"/>
          <w:szCs w:val="24"/>
        </w:rPr>
      </w:pPr>
    </w:p>
    <w:p w14:paraId="48F7151A" w14:textId="77777777" w:rsidR="00372E6F" w:rsidRDefault="00372E6F" w:rsidP="007372C8">
      <w:pPr>
        <w:jc w:val="both"/>
        <w:rPr>
          <w:rFonts w:ascii="Arial" w:hAnsi="Arial" w:cs="Arial"/>
          <w:sz w:val="24"/>
          <w:szCs w:val="24"/>
        </w:rPr>
      </w:pPr>
    </w:p>
    <w:p w14:paraId="7D85C368" w14:textId="77777777" w:rsidR="00372E6F" w:rsidRDefault="00372E6F" w:rsidP="007372C8">
      <w:pPr>
        <w:jc w:val="both"/>
        <w:rPr>
          <w:rFonts w:ascii="Arial" w:hAnsi="Arial" w:cs="Arial"/>
          <w:sz w:val="24"/>
          <w:szCs w:val="24"/>
        </w:rPr>
      </w:pPr>
    </w:p>
    <w:p w14:paraId="593D731F" w14:textId="77777777" w:rsidR="00513441" w:rsidRPr="00513441" w:rsidRDefault="00513441" w:rsidP="007372C8">
      <w:pPr>
        <w:jc w:val="both"/>
        <w:rPr>
          <w:rFonts w:ascii="Arial" w:hAnsi="Arial" w:cs="Arial"/>
          <w:b/>
          <w:sz w:val="24"/>
          <w:szCs w:val="24"/>
        </w:rPr>
      </w:pPr>
      <w:r w:rsidRPr="00513441">
        <w:rPr>
          <w:rFonts w:ascii="Arial" w:hAnsi="Arial" w:cs="Arial"/>
          <w:b/>
          <w:sz w:val="24"/>
          <w:szCs w:val="24"/>
        </w:rPr>
        <w:lastRenderedPageBreak/>
        <w:t>Writing off debts</w:t>
      </w:r>
    </w:p>
    <w:p w14:paraId="2576479A" w14:textId="77777777" w:rsidR="00A33F23" w:rsidRPr="00F219D3" w:rsidRDefault="00A33F23" w:rsidP="00493B3E">
      <w:pPr>
        <w:jc w:val="both"/>
        <w:rPr>
          <w:rFonts w:ascii="Arial" w:hAnsi="Arial" w:cs="Arial"/>
          <w:color w:val="FF0000"/>
          <w:sz w:val="24"/>
          <w:szCs w:val="24"/>
        </w:rPr>
      </w:pPr>
      <w:r>
        <w:rPr>
          <w:rFonts w:ascii="Arial" w:hAnsi="Arial" w:cs="Arial"/>
          <w:sz w:val="24"/>
          <w:szCs w:val="24"/>
        </w:rPr>
        <w:t xml:space="preserve">In some circumstances the writing off of unrecoverable debt is the most </w:t>
      </w:r>
      <w:proofErr w:type="gramStart"/>
      <w:r>
        <w:rPr>
          <w:rFonts w:ascii="Arial" w:hAnsi="Arial" w:cs="Arial"/>
          <w:sz w:val="24"/>
          <w:szCs w:val="24"/>
        </w:rPr>
        <w:t>cost effective</w:t>
      </w:r>
      <w:proofErr w:type="gramEnd"/>
      <w:r>
        <w:rPr>
          <w:rFonts w:ascii="Arial" w:hAnsi="Arial" w:cs="Arial"/>
          <w:sz w:val="24"/>
          <w:szCs w:val="24"/>
        </w:rPr>
        <w:t xml:space="preserve"> way of managing arrears. </w:t>
      </w:r>
      <w:r w:rsidR="00AC27CC">
        <w:rPr>
          <w:rFonts w:ascii="Arial" w:hAnsi="Arial" w:cs="Arial"/>
          <w:sz w:val="24"/>
          <w:szCs w:val="24"/>
        </w:rPr>
        <w:t xml:space="preserve">Debts will only be considered for writing off </w:t>
      </w:r>
      <w:r w:rsidR="00581BAB">
        <w:rPr>
          <w:rFonts w:ascii="Arial" w:hAnsi="Arial" w:cs="Arial"/>
          <w:sz w:val="24"/>
          <w:szCs w:val="24"/>
        </w:rPr>
        <w:t xml:space="preserve">once all avenues of the recovery process have been exhausted. </w:t>
      </w:r>
    </w:p>
    <w:p w14:paraId="45A5A288" w14:textId="77777777" w:rsidR="00962AAC" w:rsidRPr="0092435F" w:rsidRDefault="00962AAC" w:rsidP="00080B60">
      <w:pPr>
        <w:jc w:val="both"/>
        <w:rPr>
          <w:rFonts w:ascii="Arial" w:hAnsi="Arial" w:cs="Arial"/>
          <w:sz w:val="24"/>
          <w:szCs w:val="24"/>
        </w:rPr>
      </w:pPr>
    </w:p>
    <w:p w14:paraId="7E590F19" w14:textId="77777777" w:rsidR="00080B60" w:rsidRPr="0092435F" w:rsidRDefault="00000000" w:rsidP="00080B60">
      <w:pPr>
        <w:rPr>
          <w:rFonts w:ascii="Arial" w:hAnsi="Arial" w:cs="Arial"/>
          <w:sz w:val="24"/>
          <w:szCs w:val="24"/>
        </w:rPr>
      </w:pPr>
      <w:r>
        <w:rPr>
          <w:rFonts w:ascii="Arial" w:hAnsi="Arial" w:cs="Arial"/>
          <w:sz w:val="24"/>
          <w:szCs w:val="24"/>
        </w:rPr>
        <w:pict w14:anchorId="10C71409">
          <v:rect id="_x0000_i1026" style="width:0;height:1.5pt" o:hralign="center" o:hrstd="t" o:hr="t" fillcolor="gray" stroked="f"/>
        </w:pict>
      </w:r>
    </w:p>
    <w:p w14:paraId="39A52E2A" w14:textId="77777777" w:rsidR="00080B60" w:rsidRPr="0092435F" w:rsidRDefault="00080B60" w:rsidP="00080B60">
      <w:pPr>
        <w:rPr>
          <w:rFonts w:ascii="Arial" w:hAnsi="Arial" w:cs="Arial"/>
          <w:b/>
          <w:sz w:val="24"/>
          <w:szCs w:val="24"/>
        </w:rPr>
      </w:pPr>
    </w:p>
    <w:p w14:paraId="10E8D34F" w14:textId="77777777" w:rsidR="00080B60" w:rsidRPr="0092435F" w:rsidRDefault="00080B60" w:rsidP="00080B60">
      <w:pPr>
        <w:rPr>
          <w:rFonts w:ascii="Arial" w:hAnsi="Arial" w:cs="Arial"/>
          <w:b/>
          <w:sz w:val="24"/>
          <w:szCs w:val="24"/>
        </w:rPr>
      </w:pPr>
      <w:r w:rsidRPr="0092435F">
        <w:rPr>
          <w:rFonts w:ascii="Arial" w:hAnsi="Arial" w:cs="Arial"/>
          <w:b/>
          <w:sz w:val="24"/>
          <w:szCs w:val="24"/>
        </w:rPr>
        <w:t>RELATED POLICIES</w:t>
      </w:r>
    </w:p>
    <w:p w14:paraId="4EFF2D34" w14:textId="77777777" w:rsidR="00080B60" w:rsidRDefault="00344DAB" w:rsidP="00080B60">
      <w:pPr>
        <w:rPr>
          <w:rFonts w:ascii="Arial" w:hAnsi="Arial" w:cs="Arial"/>
          <w:sz w:val="24"/>
          <w:szCs w:val="24"/>
        </w:rPr>
      </w:pPr>
      <w:r>
        <w:rPr>
          <w:rFonts w:ascii="Arial" w:hAnsi="Arial" w:cs="Arial"/>
          <w:sz w:val="24"/>
          <w:szCs w:val="24"/>
        </w:rPr>
        <w:t>This policy should be read in conjunction with the following policies and procedures:</w:t>
      </w:r>
    </w:p>
    <w:p w14:paraId="2E7603E0" w14:textId="77777777" w:rsidR="007650DA" w:rsidRDefault="007650DA" w:rsidP="00080B60">
      <w:pPr>
        <w:rPr>
          <w:rFonts w:ascii="Arial" w:hAnsi="Arial" w:cs="Arial"/>
          <w:sz w:val="24"/>
          <w:szCs w:val="24"/>
        </w:rPr>
      </w:pPr>
    </w:p>
    <w:p w14:paraId="007F7601" w14:textId="77777777" w:rsidR="00344DAB" w:rsidRDefault="00344DAB" w:rsidP="00344DAB">
      <w:pPr>
        <w:numPr>
          <w:ilvl w:val="0"/>
          <w:numId w:val="21"/>
        </w:numPr>
        <w:rPr>
          <w:rFonts w:ascii="Arial" w:hAnsi="Arial" w:cs="Arial"/>
          <w:sz w:val="24"/>
          <w:szCs w:val="24"/>
        </w:rPr>
      </w:pPr>
      <w:r>
        <w:rPr>
          <w:rFonts w:ascii="Arial" w:hAnsi="Arial" w:cs="Arial"/>
          <w:sz w:val="24"/>
          <w:szCs w:val="24"/>
        </w:rPr>
        <w:t>Arrears recovery procedure</w:t>
      </w:r>
    </w:p>
    <w:p w14:paraId="34DEBEBC" w14:textId="77777777" w:rsidR="00344DAB" w:rsidRDefault="00D31FCF" w:rsidP="00344DAB">
      <w:pPr>
        <w:numPr>
          <w:ilvl w:val="0"/>
          <w:numId w:val="21"/>
        </w:numPr>
        <w:rPr>
          <w:rFonts w:ascii="Arial" w:hAnsi="Arial" w:cs="Arial"/>
          <w:sz w:val="24"/>
          <w:szCs w:val="24"/>
        </w:rPr>
      </w:pPr>
      <w:r>
        <w:rPr>
          <w:rFonts w:ascii="Arial" w:hAnsi="Arial" w:cs="Arial"/>
          <w:sz w:val="24"/>
          <w:szCs w:val="24"/>
        </w:rPr>
        <w:t>Former tenant arrears procedure</w:t>
      </w:r>
    </w:p>
    <w:p w14:paraId="6047F8E1" w14:textId="77777777" w:rsidR="00D31FCF" w:rsidRDefault="00D31FCF" w:rsidP="00344DAB">
      <w:pPr>
        <w:numPr>
          <w:ilvl w:val="0"/>
          <w:numId w:val="21"/>
        </w:numPr>
        <w:rPr>
          <w:rFonts w:ascii="Arial" w:hAnsi="Arial" w:cs="Arial"/>
          <w:sz w:val="24"/>
          <w:szCs w:val="24"/>
        </w:rPr>
      </w:pPr>
      <w:r>
        <w:rPr>
          <w:rFonts w:ascii="Arial" w:hAnsi="Arial" w:cs="Arial"/>
          <w:sz w:val="24"/>
          <w:szCs w:val="24"/>
        </w:rPr>
        <w:t>Vulnerable persons procedure</w:t>
      </w:r>
    </w:p>
    <w:p w14:paraId="4423B920" w14:textId="77777777" w:rsidR="00D31FCF" w:rsidRDefault="00D31FCF" w:rsidP="00344DAB">
      <w:pPr>
        <w:numPr>
          <w:ilvl w:val="0"/>
          <w:numId w:val="21"/>
        </w:numPr>
        <w:rPr>
          <w:rFonts w:ascii="Arial" w:hAnsi="Arial" w:cs="Arial"/>
          <w:sz w:val="24"/>
          <w:szCs w:val="24"/>
        </w:rPr>
      </w:pPr>
      <w:r>
        <w:rPr>
          <w:rFonts w:ascii="Arial" w:hAnsi="Arial" w:cs="Arial"/>
          <w:sz w:val="24"/>
          <w:szCs w:val="24"/>
        </w:rPr>
        <w:t>Equality and Diversity Policy</w:t>
      </w:r>
    </w:p>
    <w:p w14:paraId="2981D9A4" w14:textId="77777777" w:rsidR="00080B60" w:rsidRDefault="00D31FCF" w:rsidP="00080B60">
      <w:pPr>
        <w:numPr>
          <w:ilvl w:val="0"/>
          <w:numId w:val="21"/>
        </w:numPr>
        <w:rPr>
          <w:rFonts w:ascii="Arial" w:hAnsi="Arial" w:cs="Arial"/>
          <w:sz w:val="24"/>
          <w:szCs w:val="24"/>
        </w:rPr>
      </w:pPr>
      <w:r>
        <w:rPr>
          <w:rFonts w:ascii="Arial" w:hAnsi="Arial" w:cs="Arial"/>
          <w:sz w:val="24"/>
          <w:szCs w:val="24"/>
        </w:rPr>
        <w:t>Financial regulations</w:t>
      </w:r>
    </w:p>
    <w:p w14:paraId="75873A52" w14:textId="77777777" w:rsidR="0044394A" w:rsidRDefault="0044394A" w:rsidP="00080B60">
      <w:pPr>
        <w:numPr>
          <w:ilvl w:val="0"/>
          <w:numId w:val="21"/>
        </w:numPr>
        <w:rPr>
          <w:rFonts w:ascii="Arial" w:hAnsi="Arial" w:cs="Arial"/>
          <w:sz w:val="24"/>
          <w:szCs w:val="24"/>
        </w:rPr>
      </w:pPr>
      <w:r>
        <w:rPr>
          <w:rFonts w:ascii="Arial" w:hAnsi="Arial" w:cs="Arial"/>
          <w:sz w:val="24"/>
          <w:szCs w:val="24"/>
        </w:rPr>
        <w:t>Allocations policy</w:t>
      </w:r>
    </w:p>
    <w:p w14:paraId="5FD56282" w14:textId="77777777" w:rsidR="009F70D0" w:rsidRDefault="009F70D0" w:rsidP="009F70D0">
      <w:pPr>
        <w:rPr>
          <w:rFonts w:ascii="Arial" w:hAnsi="Arial" w:cs="Arial"/>
          <w:sz w:val="24"/>
          <w:szCs w:val="24"/>
        </w:rPr>
      </w:pPr>
    </w:p>
    <w:p w14:paraId="183105D9" w14:textId="77777777" w:rsidR="00080B60" w:rsidRPr="0092435F" w:rsidRDefault="00000000" w:rsidP="00080B60">
      <w:pPr>
        <w:rPr>
          <w:rFonts w:ascii="Arial" w:hAnsi="Arial" w:cs="Arial"/>
          <w:sz w:val="24"/>
          <w:szCs w:val="24"/>
        </w:rPr>
      </w:pPr>
      <w:r>
        <w:rPr>
          <w:rFonts w:ascii="Arial" w:hAnsi="Arial" w:cs="Arial"/>
          <w:sz w:val="24"/>
          <w:szCs w:val="24"/>
        </w:rPr>
        <w:pict w14:anchorId="4058614E">
          <v:rect id="_x0000_i1027" style="width:0;height:1.5pt" o:hralign="center" o:hrstd="t" o:hr="t" fillcolor="gray" stroked="f"/>
        </w:pict>
      </w:r>
    </w:p>
    <w:p w14:paraId="2BBA0989" w14:textId="77777777" w:rsidR="009F70D0" w:rsidRDefault="009F70D0" w:rsidP="00080B60">
      <w:pPr>
        <w:pStyle w:val="Footer"/>
        <w:tabs>
          <w:tab w:val="clear" w:pos="4153"/>
          <w:tab w:val="clear" w:pos="8306"/>
        </w:tabs>
        <w:rPr>
          <w:rFonts w:ascii="Arial" w:hAnsi="Arial" w:cs="Arial"/>
          <w:b/>
          <w:bCs/>
          <w:sz w:val="24"/>
          <w:szCs w:val="24"/>
        </w:rPr>
      </w:pPr>
    </w:p>
    <w:p w14:paraId="1B0C8CFC" w14:textId="77777777" w:rsidR="00FA27D0" w:rsidRDefault="002D1E12" w:rsidP="00080B60">
      <w:pPr>
        <w:pStyle w:val="Footer"/>
        <w:tabs>
          <w:tab w:val="clear" w:pos="4153"/>
          <w:tab w:val="clear" w:pos="8306"/>
        </w:tabs>
        <w:rPr>
          <w:rFonts w:ascii="Arial" w:hAnsi="Arial" w:cs="Arial"/>
          <w:b/>
          <w:bCs/>
          <w:sz w:val="24"/>
          <w:szCs w:val="24"/>
        </w:rPr>
      </w:pPr>
      <w:r>
        <w:rPr>
          <w:rFonts w:ascii="Arial" w:hAnsi="Arial" w:cs="Arial"/>
          <w:b/>
          <w:bCs/>
          <w:sz w:val="24"/>
          <w:szCs w:val="24"/>
        </w:rPr>
        <w:t>KEY PERFORMANCE INDICATORS</w:t>
      </w:r>
    </w:p>
    <w:p w14:paraId="4B896C93" w14:textId="77777777" w:rsidR="00CB0925" w:rsidRDefault="00CB0925" w:rsidP="00CB0925">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 xml:space="preserve">Proportion of rent </w:t>
      </w:r>
      <w:proofErr w:type="gramStart"/>
      <w:r>
        <w:rPr>
          <w:rFonts w:ascii="Arial" w:hAnsi="Arial" w:cs="Arial"/>
          <w:bCs/>
          <w:sz w:val="24"/>
          <w:szCs w:val="24"/>
        </w:rPr>
        <w:t>collected</w:t>
      </w:r>
      <w:proofErr w:type="gramEnd"/>
    </w:p>
    <w:p w14:paraId="721712C0" w14:textId="77777777" w:rsidR="00DB78B1" w:rsidRPr="00CB0925" w:rsidRDefault="00CB0925" w:rsidP="00080B60">
      <w:pPr>
        <w:pStyle w:val="Footer"/>
        <w:numPr>
          <w:ilvl w:val="0"/>
          <w:numId w:val="27"/>
        </w:numPr>
        <w:tabs>
          <w:tab w:val="clear" w:pos="4153"/>
          <w:tab w:val="clear" w:pos="8306"/>
        </w:tabs>
        <w:rPr>
          <w:rFonts w:ascii="Arial" w:hAnsi="Arial" w:cs="Arial"/>
          <w:b/>
          <w:bCs/>
          <w:sz w:val="24"/>
          <w:szCs w:val="24"/>
        </w:rPr>
      </w:pPr>
      <w:r>
        <w:rPr>
          <w:rFonts w:ascii="Arial" w:hAnsi="Arial" w:cs="Arial"/>
          <w:bCs/>
          <w:sz w:val="24"/>
          <w:szCs w:val="24"/>
        </w:rPr>
        <w:t>Level of arrears expressed in £’</w:t>
      </w:r>
      <w:proofErr w:type="gramStart"/>
      <w:r>
        <w:rPr>
          <w:rFonts w:ascii="Arial" w:hAnsi="Arial" w:cs="Arial"/>
          <w:bCs/>
          <w:sz w:val="24"/>
          <w:szCs w:val="24"/>
        </w:rPr>
        <w:t>s</w:t>
      </w:r>
      <w:proofErr w:type="gramEnd"/>
    </w:p>
    <w:p w14:paraId="7A37374C" w14:textId="77777777" w:rsidR="00CB0925" w:rsidRDefault="00CB0925" w:rsidP="00080B60">
      <w:pPr>
        <w:pStyle w:val="Footer"/>
        <w:numPr>
          <w:ilvl w:val="0"/>
          <w:numId w:val="27"/>
        </w:numPr>
        <w:tabs>
          <w:tab w:val="clear" w:pos="4153"/>
          <w:tab w:val="clear" w:pos="8306"/>
        </w:tabs>
        <w:rPr>
          <w:rFonts w:ascii="Arial" w:hAnsi="Arial" w:cs="Arial"/>
          <w:bCs/>
          <w:sz w:val="24"/>
          <w:szCs w:val="24"/>
        </w:rPr>
      </w:pPr>
      <w:r w:rsidRPr="00CB0925">
        <w:rPr>
          <w:rFonts w:ascii="Arial" w:hAnsi="Arial" w:cs="Arial"/>
          <w:bCs/>
          <w:sz w:val="24"/>
          <w:szCs w:val="24"/>
        </w:rPr>
        <w:t>Level of former tenant arrears</w:t>
      </w:r>
      <w:r>
        <w:rPr>
          <w:rFonts w:ascii="Arial" w:hAnsi="Arial" w:cs="Arial"/>
          <w:bCs/>
          <w:sz w:val="24"/>
          <w:szCs w:val="24"/>
        </w:rPr>
        <w:t xml:space="preserve"> expressed in £’</w:t>
      </w:r>
      <w:proofErr w:type="gramStart"/>
      <w:r>
        <w:rPr>
          <w:rFonts w:ascii="Arial" w:hAnsi="Arial" w:cs="Arial"/>
          <w:bCs/>
          <w:sz w:val="24"/>
          <w:szCs w:val="24"/>
        </w:rPr>
        <w:t>s</w:t>
      </w:r>
      <w:proofErr w:type="gramEnd"/>
    </w:p>
    <w:p w14:paraId="33516003" w14:textId="77777777" w:rsidR="00CB0925" w:rsidRDefault="00CB0925" w:rsidP="00080B60">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Level of District heating arrears expressed in £’</w:t>
      </w:r>
      <w:proofErr w:type="gramStart"/>
      <w:r>
        <w:rPr>
          <w:rFonts w:ascii="Arial" w:hAnsi="Arial" w:cs="Arial"/>
          <w:bCs/>
          <w:sz w:val="24"/>
          <w:szCs w:val="24"/>
        </w:rPr>
        <w:t>s</w:t>
      </w:r>
      <w:proofErr w:type="gramEnd"/>
    </w:p>
    <w:p w14:paraId="53DD213D" w14:textId="77777777" w:rsidR="00CB0925" w:rsidRDefault="00CB0925" w:rsidP="00080B60">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 xml:space="preserve">Rent written </w:t>
      </w:r>
      <w:proofErr w:type="spellStart"/>
      <w:r>
        <w:rPr>
          <w:rFonts w:ascii="Arial" w:hAnsi="Arial" w:cs="Arial"/>
          <w:bCs/>
          <w:sz w:val="24"/>
          <w:szCs w:val="24"/>
        </w:rPr>
        <w:t>of</w:t>
      </w:r>
      <w:proofErr w:type="spellEnd"/>
      <w:r>
        <w:rPr>
          <w:rFonts w:ascii="Arial" w:hAnsi="Arial" w:cs="Arial"/>
          <w:bCs/>
          <w:sz w:val="24"/>
          <w:szCs w:val="24"/>
        </w:rPr>
        <w:t xml:space="preserve"> as a </w:t>
      </w:r>
      <w:r w:rsidR="00C330EA">
        <w:rPr>
          <w:rFonts w:ascii="Arial" w:hAnsi="Arial" w:cs="Arial"/>
          <w:bCs/>
          <w:sz w:val="24"/>
          <w:szCs w:val="24"/>
        </w:rPr>
        <w:t>percentage</w:t>
      </w:r>
      <w:r>
        <w:rPr>
          <w:rFonts w:ascii="Arial" w:hAnsi="Arial" w:cs="Arial"/>
          <w:bCs/>
          <w:sz w:val="24"/>
          <w:szCs w:val="24"/>
        </w:rPr>
        <w:t xml:space="preserve"> of the annual rent </w:t>
      </w:r>
      <w:proofErr w:type="gramStart"/>
      <w:r>
        <w:rPr>
          <w:rFonts w:ascii="Arial" w:hAnsi="Arial" w:cs="Arial"/>
          <w:bCs/>
          <w:sz w:val="24"/>
          <w:szCs w:val="24"/>
        </w:rPr>
        <w:t>roll</w:t>
      </w:r>
      <w:proofErr w:type="gramEnd"/>
    </w:p>
    <w:p w14:paraId="65510C4E" w14:textId="77777777" w:rsidR="00CB0925" w:rsidRDefault="00C330EA" w:rsidP="00080B60">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Percentage</w:t>
      </w:r>
      <w:r w:rsidR="00CB0925">
        <w:rPr>
          <w:rFonts w:ascii="Arial" w:hAnsi="Arial" w:cs="Arial"/>
          <w:bCs/>
          <w:sz w:val="24"/>
          <w:szCs w:val="24"/>
        </w:rPr>
        <w:t xml:space="preserve"> of tenants more than 35 days in arrears</w:t>
      </w:r>
    </w:p>
    <w:p w14:paraId="715202CB" w14:textId="77777777" w:rsidR="00CB0925" w:rsidRDefault="00CB0925" w:rsidP="00080B60">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 xml:space="preserve">Number of notices served for </w:t>
      </w:r>
      <w:proofErr w:type="gramStart"/>
      <w:r>
        <w:rPr>
          <w:rFonts w:ascii="Arial" w:hAnsi="Arial" w:cs="Arial"/>
          <w:bCs/>
          <w:sz w:val="24"/>
          <w:szCs w:val="24"/>
        </w:rPr>
        <w:t>arrears</w:t>
      </w:r>
      <w:proofErr w:type="gramEnd"/>
    </w:p>
    <w:p w14:paraId="72422C9D" w14:textId="77777777" w:rsidR="00CB0925" w:rsidRDefault="00CB0925" w:rsidP="00080B60">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 xml:space="preserve">Number of evictions for rent </w:t>
      </w:r>
      <w:proofErr w:type="gramStart"/>
      <w:r>
        <w:rPr>
          <w:rFonts w:ascii="Arial" w:hAnsi="Arial" w:cs="Arial"/>
          <w:bCs/>
          <w:sz w:val="24"/>
          <w:szCs w:val="24"/>
        </w:rPr>
        <w:t>arrears</w:t>
      </w:r>
      <w:proofErr w:type="gramEnd"/>
    </w:p>
    <w:p w14:paraId="6FB68170" w14:textId="77777777" w:rsidR="00CB0925" w:rsidRDefault="00C330EA" w:rsidP="00080B60">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Percentage</w:t>
      </w:r>
      <w:r w:rsidR="00CB0925">
        <w:rPr>
          <w:rFonts w:ascii="Arial" w:hAnsi="Arial" w:cs="Arial"/>
          <w:bCs/>
          <w:sz w:val="24"/>
          <w:szCs w:val="24"/>
        </w:rPr>
        <w:t xml:space="preserve"> of tenants evicted as a result of rent </w:t>
      </w:r>
      <w:proofErr w:type="gramStart"/>
      <w:r w:rsidR="00CB0925">
        <w:rPr>
          <w:rFonts w:ascii="Arial" w:hAnsi="Arial" w:cs="Arial"/>
          <w:bCs/>
          <w:sz w:val="24"/>
          <w:szCs w:val="24"/>
        </w:rPr>
        <w:t>arrears</w:t>
      </w:r>
      <w:proofErr w:type="gramEnd"/>
    </w:p>
    <w:p w14:paraId="47909003" w14:textId="6ADFBCAB" w:rsidR="00CC4C3D" w:rsidRPr="00CB0925" w:rsidRDefault="00CC4C3D" w:rsidP="00080B60">
      <w:pPr>
        <w:pStyle w:val="Footer"/>
        <w:numPr>
          <w:ilvl w:val="0"/>
          <w:numId w:val="27"/>
        </w:numPr>
        <w:tabs>
          <w:tab w:val="clear" w:pos="4153"/>
          <w:tab w:val="clear" w:pos="8306"/>
        </w:tabs>
        <w:rPr>
          <w:rFonts w:ascii="Arial" w:hAnsi="Arial" w:cs="Arial"/>
          <w:bCs/>
          <w:sz w:val="24"/>
          <w:szCs w:val="24"/>
        </w:rPr>
      </w:pPr>
      <w:r>
        <w:rPr>
          <w:rFonts w:ascii="Arial" w:hAnsi="Arial" w:cs="Arial"/>
          <w:bCs/>
          <w:sz w:val="24"/>
          <w:szCs w:val="24"/>
        </w:rPr>
        <w:t xml:space="preserve">Debt arising </w:t>
      </w:r>
      <w:proofErr w:type="gramStart"/>
      <w:r>
        <w:rPr>
          <w:rFonts w:ascii="Arial" w:hAnsi="Arial" w:cs="Arial"/>
          <w:bCs/>
          <w:sz w:val="24"/>
          <w:szCs w:val="24"/>
        </w:rPr>
        <w:t>as a result of</w:t>
      </w:r>
      <w:proofErr w:type="gramEnd"/>
      <w:r>
        <w:rPr>
          <w:rFonts w:ascii="Arial" w:hAnsi="Arial" w:cs="Arial"/>
          <w:bCs/>
          <w:sz w:val="24"/>
          <w:szCs w:val="24"/>
        </w:rPr>
        <w:t xml:space="preserve"> under occupancy </w:t>
      </w:r>
      <w:r w:rsidR="00CE63A9">
        <w:rPr>
          <w:rFonts w:ascii="Arial" w:hAnsi="Arial" w:cs="Arial"/>
          <w:bCs/>
          <w:sz w:val="24"/>
          <w:szCs w:val="24"/>
        </w:rPr>
        <w:t>charges.</w:t>
      </w:r>
    </w:p>
    <w:p w14:paraId="0FF19357" w14:textId="77777777" w:rsidR="00FA27D0" w:rsidRDefault="00FA27D0" w:rsidP="00080B60">
      <w:pPr>
        <w:pStyle w:val="Footer"/>
        <w:tabs>
          <w:tab w:val="clear" w:pos="4153"/>
          <w:tab w:val="clear" w:pos="8306"/>
        </w:tabs>
        <w:rPr>
          <w:rFonts w:ascii="Arial" w:hAnsi="Arial" w:cs="Arial"/>
          <w:b/>
          <w:bCs/>
          <w:sz w:val="24"/>
          <w:szCs w:val="24"/>
        </w:rPr>
      </w:pPr>
    </w:p>
    <w:p w14:paraId="41AE38B0" w14:textId="6D80559A" w:rsidR="002D1E12" w:rsidRDefault="00CE63A9" w:rsidP="00080B60">
      <w:pPr>
        <w:pStyle w:val="Footer"/>
        <w:tabs>
          <w:tab w:val="clear" w:pos="4153"/>
          <w:tab w:val="clear" w:pos="8306"/>
        </w:tabs>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7216" behindDoc="0" locked="0" layoutInCell="1" allowOverlap="1" wp14:anchorId="1999C47B" wp14:editId="3C74F24D">
                <wp:simplePos x="0" y="0"/>
                <wp:positionH relativeFrom="column">
                  <wp:posOffset>-62865</wp:posOffset>
                </wp:positionH>
                <wp:positionV relativeFrom="paragraph">
                  <wp:posOffset>40005</wp:posOffset>
                </wp:positionV>
                <wp:extent cx="5486400" cy="0"/>
                <wp:effectExtent l="0" t="0" r="0" b="0"/>
                <wp:wrapNone/>
                <wp:docPr id="154225544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E0077"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15pt" to="427.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" strokecolor="#969696"/>
            </w:pict>
          </mc:Fallback>
        </mc:AlternateContent>
      </w:r>
    </w:p>
    <w:p w14:paraId="53C187BC" w14:textId="77777777" w:rsidR="00355753" w:rsidRPr="00355753" w:rsidRDefault="00355753" w:rsidP="00080B60">
      <w:pPr>
        <w:pStyle w:val="Footer"/>
        <w:tabs>
          <w:tab w:val="clear" w:pos="4153"/>
          <w:tab w:val="clear" w:pos="8306"/>
        </w:tabs>
        <w:rPr>
          <w:rFonts w:ascii="Arial" w:hAnsi="Arial" w:cs="Arial"/>
          <w:b/>
          <w:bCs/>
          <w:sz w:val="24"/>
          <w:szCs w:val="24"/>
        </w:rPr>
      </w:pPr>
      <w:r>
        <w:rPr>
          <w:rFonts w:ascii="Arial" w:hAnsi="Arial" w:cs="Arial"/>
          <w:b/>
          <w:bCs/>
          <w:sz w:val="24"/>
          <w:szCs w:val="24"/>
        </w:rPr>
        <w:t xml:space="preserve">MONITORING AND </w:t>
      </w:r>
      <w:r w:rsidR="000048D2">
        <w:rPr>
          <w:rFonts w:ascii="Arial" w:hAnsi="Arial" w:cs="Arial"/>
          <w:b/>
          <w:bCs/>
          <w:sz w:val="24"/>
          <w:szCs w:val="24"/>
        </w:rPr>
        <w:t>PERFORMANCE MANAGEMENT</w:t>
      </w:r>
    </w:p>
    <w:p w14:paraId="4281224B" w14:textId="77777777" w:rsidR="00080B60" w:rsidRDefault="00736C22" w:rsidP="00080B60">
      <w:pPr>
        <w:pStyle w:val="Footer"/>
        <w:tabs>
          <w:tab w:val="clear" w:pos="4153"/>
          <w:tab w:val="clear" w:pos="8306"/>
        </w:tabs>
        <w:rPr>
          <w:rFonts w:ascii="Arial" w:hAnsi="Arial" w:cs="Arial"/>
          <w:sz w:val="24"/>
          <w:szCs w:val="24"/>
        </w:rPr>
      </w:pPr>
      <w:r>
        <w:rPr>
          <w:rFonts w:ascii="Arial" w:hAnsi="Arial" w:cs="Arial"/>
          <w:sz w:val="24"/>
          <w:szCs w:val="24"/>
        </w:rPr>
        <w:t>The monitoring of outcomes is essential for Landlord Services to track the impact of our approach to arrears management</w:t>
      </w:r>
      <w:r w:rsidR="00C330EA">
        <w:rPr>
          <w:rFonts w:ascii="Arial" w:hAnsi="Arial" w:cs="Arial"/>
          <w:sz w:val="24"/>
          <w:szCs w:val="24"/>
        </w:rPr>
        <w:t>. Monitoring</w:t>
      </w:r>
      <w:r w:rsidR="00462B6F">
        <w:rPr>
          <w:rFonts w:ascii="Arial" w:hAnsi="Arial" w:cs="Arial"/>
          <w:sz w:val="24"/>
          <w:szCs w:val="24"/>
        </w:rPr>
        <w:t xml:space="preserve"> the implementation of the income management policy and associated procedures will consider:</w:t>
      </w:r>
    </w:p>
    <w:p w14:paraId="6F0D7FC5" w14:textId="77777777" w:rsidR="00462B6F" w:rsidRDefault="00462B6F" w:rsidP="00080B60">
      <w:pPr>
        <w:pStyle w:val="Footer"/>
        <w:tabs>
          <w:tab w:val="clear" w:pos="4153"/>
          <w:tab w:val="clear" w:pos="8306"/>
        </w:tabs>
        <w:rPr>
          <w:rFonts w:ascii="Arial" w:hAnsi="Arial" w:cs="Arial"/>
          <w:sz w:val="24"/>
          <w:szCs w:val="24"/>
        </w:rPr>
      </w:pPr>
    </w:p>
    <w:p w14:paraId="73EB9150" w14:textId="77777777" w:rsidR="00462B6F" w:rsidRDefault="00462B6F" w:rsidP="00462B6F">
      <w:pPr>
        <w:pStyle w:val="Footer"/>
        <w:numPr>
          <w:ilvl w:val="0"/>
          <w:numId w:val="25"/>
        </w:numPr>
        <w:tabs>
          <w:tab w:val="clear" w:pos="4153"/>
          <w:tab w:val="clear" w:pos="8306"/>
        </w:tabs>
        <w:rPr>
          <w:rFonts w:ascii="Arial" w:hAnsi="Arial" w:cs="Arial"/>
          <w:sz w:val="24"/>
          <w:szCs w:val="24"/>
        </w:rPr>
      </w:pPr>
      <w:r>
        <w:rPr>
          <w:rFonts w:ascii="Arial" w:hAnsi="Arial" w:cs="Arial"/>
          <w:sz w:val="24"/>
          <w:szCs w:val="24"/>
        </w:rPr>
        <w:t xml:space="preserve">How easily customers can access advice and assistance in managing their rent and tenancy </w:t>
      </w:r>
      <w:proofErr w:type="gramStart"/>
      <w:r>
        <w:rPr>
          <w:rFonts w:ascii="Arial" w:hAnsi="Arial" w:cs="Arial"/>
          <w:sz w:val="24"/>
          <w:szCs w:val="24"/>
        </w:rPr>
        <w:t>charges</w:t>
      </w:r>
      <w:proofErr w:type="gramEnd"/>
    </w:p>
    <w:p w14:paraId="2F32A7DE" w14:textId="77777777" w:rsidR="00462B6F" w:rsidRDefault="00462B6F" w:rsidP="00462B6F">
      <w:pPr>
        <w:pStyle w:val="Footer"/>
        <w:numPr>
          <w:ilvl w:val="0"/>
          <w:numId w:val="25"/>
        </w:numPr>
        <w:tabs>
          <w:tab w:val="clear" w:pos="4153"/>
          <w:tab w:val="clear" w:pos="8306"/>
        </w:tabs>
        <w:rPr>
          <w:rFonts w:ascii="Arial" w:hAnsi="Arial" w:cs="Arial"/>
          <w:sz w:val="24"/>
          <w:szCs w:val="24"/>
        </w:rPr>
      </w:pPr>
      <w:r>
        <w:rPr>
          <w:rFonts w:ascii="Arial" w:hAnsi="Arial" w:cs="Arial"/>
          <w:sz w:val="24"/>
          <w:szCs w:val="24"/>
        </w:rPr>
        <w:t xml:space="preserve">The performance against service standards and targets set out </w:t>
      </w:r>
      <w:proofErr w:type="gramStart"/>
      <w:r w:rsidR="00FA27D0">
        <w:rPr>
          <w:rFonts w:ascii="Arial" w:hAnsi="Arial" w:cs="Arial"/>
          <w:sz w:val="24"/>
          <w:szCs w:val="24"/>
        </w:rPr>
        <w:t>above</w:t>
      </w:r>
      <w:proofErr w:type="gramEnd"/>
    </w:p>
    <w:p w14:paraId="455EC897" w14:textId="2455CCB5" w:rsidR="00A03871" w:rsidRDefault="00A03871" w:rsidP="00462B6F">
      <w:pPr>
        <w:pStyle w:val="Footer"/>
        <w:numPr>
          <w:ilvl w:val="0"/>
          <w:numId w:val="25"/>
        </w:numPr>
        <w:tabs>
          <w:tab w:val="clear" w:pos="4153"/>
          <w:tab w:val="clear" w:pos="8306"/>
        </w:tabs>
        <w:rPr>
          <w:rFonts w:ascii="Arial" w:hAnsi="Arial" w:cs="Arial"/>
          <w:sz w:val="24"/>
          <w:szCs w:val="24"/>
        </w:rPr>
      </w:pPr>
      <w:r>
        <w:rPr>
          <w:rFonts w:ascii="Arial" w:hAnsi="Arial" w:cs="Arial"/>
          <w:sz w:val="24"/>
          <w:szCs w:val="24"/>
        </w:rPr>
        <w:t>The efficiency costs of delivering the policy/</w:t>
      </w:r>
      <w:proofErr w:type="gramStart"/>
      <w:r>
        <w:rPr>
          <w:rFonts w:ascii="Arial" w:hAnsi="Arial" w:cs="Arial"/>
          <w:sz w:val="24"/>
          <w:szCs w:val="24"/>
        </w:rPr>
        <w:t>procedure</w:t>
      </w:r>
      <w:proofErr w:type="gramEnd"/>
      <w:r>
        <w:rPr>
          <w:rFonts w:ascii="Arial" w:hAnsi="Arial" w:cs="Arial"/>
          <w:sz w:val="24"/>
          <w:szCs w:val="24"/>
        </w:rPr>
        <w:t xml:space="preserve"> </w:t>
      </w:r>
    </w:p>
    <w:p w14:paraId="604213A2" w14:textId="77777777" w:rsidR="00A03871" w:rsidRDefault="00A03871" w:rsidP="00462B6F">
      <w:pPr>
        <w:pStyle w:val="Footer"/>
        <w:numPr>
          <w:ilvl w:val="0"/>
          <w:numId w:val="25"/>
        </w:numPr>
        <w:tabs>
          <w:tab w:val="clear" w:pos="4153"/>
          <w:tab w:val="clear" w:pos="8306"/>
        </w:tabs>
        <w:rPr>
          <w:rFonts w:ascii="Arial" w:hAnsi="Arial" w:cs="Arial"/>
          <w:sz w:val="24"/>
          <w:szCs w:val="24"/>
        </w:rPr>
      </w:pPr>
      <w:r>
        <w:rPr>
          <w:rFonts w:ascii="Arial" w:hAnsi="Arial" w:cs="Arial"/>
          <w:sz w:val="24"/>
          <w:szCs w:val="24"/>
        </w:rPr>
        <w:t>Customer satisfaction and levels of complaints</w:t>
      </w:r>
    </w:p>
    <w:p w14:paraId="61F81254" w14:textId="77777777" w:rsidR="00603740" w:rsidRDefault="00603740" w:rsidP="00603740">
      <w:pPr>
        <w:pStyle w:val="Footer"/>
        <w:tabs>
          <w:tab w:val="clear" w:pos="4153"/>
          <w:tab w:val="clear" w:pos="8306"/>
        </w:tabs>
        <w:rPr>
          <w:rFonts w:ascii="Arial" w:hAnsi="Arial" w:cs="Arial"/>
          <w:sz w:val="24"/>
          <w:szCs w:val="24"/>
        </w:rPr>
      </w:pPr>
    </w:p>
    <w:p w14:paraId="04E4109D" w14:textId="77777777" w:rsidR="000048D2" w:rsidRPr="00AC5A14" w:rsidRDefault="000048D2" w:rsidP="000048D2">
      <w:pPr>
        <w:pStyle w:val="Footer"/>
        <w:tabs>
          <w:tab w:val="clear" w:pos="4153"/>
          <w:tab w:val="clear" w:pos="8306"/>
        </w:tabs>
        <w:rPr>
          <w:rFonts w:ascii="Arial" w:hAnsi="Arial" w:cs="Arial"/>
          <w:sz w:val="24"/>
          <w:szCs w:val="24"/>
        </w:rPr>
      </w:pPr>
      <w:r w:rsidRPr="00AC5A14">
        <w:rPr>
          <w:rFonts w:ascii="Arial" w:hAnsi="Arial" w:cs="Arial"/>
          <w:sz w:val="24"/>
          <w:szCs w:val="24"/>
        </w:rPr>
        <w:t xml:space="preserve">Senior Tenancy Service Officers will go through individual cases with </w:t>
      </w:r>
      <w:r w:rsidR="00DB78B1">
        <w:rPr>
          <w:rFonts w:ascii="Arial" w:hAnsi="Arial" w:cs="Arial"/>
          <w:sz w:val="24"/>
          <w:szCs w:val="24"/>
        </w:rPr>
        <w:t>Tenancy Service Officers</w:t>
      </w:r>
      <w:r w:rsidRPr="00AC5A14">
        <w:rPr>
          <w:rFonts w:ascii="Arial" w:hAnsi="Arial" w:cs="Arial"/>
          <w:sz w:val="24"/>
          <w:szCs w:val="24"/>
        </w:rPr>
        <w:t xml:space="preserve"> on </w:t>
      </w:r>
      <w:r w:rsidR="00CC4C3D">
        <w:rPr>
          <w:rFonts w:ascii="Arial" w:hAnsi="Arial" w:cs="Arial"/>
          <w:sz w:val="24"/>
          <w:szCs w:val="24"/>
        </w:rPr>
        <w:t>a regular</w:t>
      </w:r>
      <w:r w:rsidRPr="00AC5A14">
        <w:rPr>
          <w:rFonts w:ascii="Arial" w:hAnsi="Arial" w:cs="Arial"/>
          <w:sz w:val="24"/>
          <w:szCs w:val="24"/>
        </w:rPr>
        <w:t xml:space="preserve"> basis to ensure service standards and timescales are being adhered to and effective </w:t>
      </w:r>
      <w:r>
        <w:rPr>
          <w:rFonts w:ascii="Arial" w:hAnsi="Arial" w:cs="Arial"/>
          <w:sz w:val="24"/>
          <w:szCs w:val="24"/>
        </w:rPr>
        <w:t>arrears management</w:t>
      </w:r>
      <w:r w:rsidRPr="00AC5A14">
        <w:rPr>
          <w:rFonts w:ascii="Arial" w:hAnsi="Arial" w:cs="Arial"/>
          <w:sz w:val="24"/>
          <w:szCs w:val="24"/>
        </w:rPr>
        <w:t>.</w:t>
      </w:r>
    </w:p>
    <w:p w14:paraId="3C5E0052" w14:textId="77777777" w:rsidR="000048D2" w:rsidRPr="00AC5A14" w:rsidRDefault="000048D2" w:rsidP="000048D2">
      <w:pPr>
        <w:pStyle w:val="Footer"/>
        <w:tabs>
          <w:tab w:val="clear" w:pos="4153"/>
          <w:tab w:val="clear" w:pos="8306"/>
        </w:tabs>
        <w:rPr>
          <w:rFonts w:ascii="Arial" w:hAnsi="Arial" w:cs="Arial"/>
          <w:sz w:val="24"/>
          <w:szCs w:val="24"/>
        </w:rPr>
      </w:pPr>
    </w:p>
    <w:p w14:paraId="7D3F26D9" w14:textId="77777777" w:rsidR="000048D2" w:rsidRDefault="000048D2" w:rsidP="000048D2">
      <w:pPr>
        <w:pStyle w:val="Footer"/>
        <w:tabs>
          <w:tab w:val="clear" w:pos="4153"/>
          <w:tab w:val="clear" w:pos="8306"/>
        </w:tabs>
        <w:rPr>
          <w:rFonts w:ascii="Arial" w:hAnsi="Arial" w:cs="Arial"/>
          <w:sz w:val="24"/>
          <w:szCs w:val="24"/>
        </w:rPr>
      </w:pPr>
      <w:r w:rsidRPr="00AC5A14">
        <w:rPr>
          <w:rFonts w:ascii="Arial" w:hAnsi="Arial" w:cs="Arial"/>
          <w:sz w:val="24"/>
          <w:szCs w:val="24"/>
        </w:rPr>
        <w:t xml:space="preserve">A quarterly report covering all identified performance information will be presented to the </w:t>
      </w:r>
      <w:r w:rsidR="002D1E12">
        <w:rPr>
          <w:rFonts w:ascii="Arial" w:hAnsi="Arial" w:cs="Arial"/>
          <w:sz w:val="24"/>
          <w:szCs w:val="24"/>
        </w:rPr>
        <w:t>Income Management Improvement G</w:t>
      </w:r>
      <w:r w:rsidRPr="00AC5A14">
        <w:rPr>
          <w:rFonts w:ascii="Arial" w:hAnsi="Arial" w:cs="Arial"/>
          <w:sz w:val="24"/>
          <w:szCs w:val="24"/>
        </w:rPr>
        <w:t xml:space="preserve">roup and Housing </w:t>
      </w:r>
      <w:r w:rsidRPr="00AC5A14">
        <w:rPr>
          <w:rFonts w:ascii="Arial" w:hAnsi="Arial" w:cs="Arial"/>
          <w:sz w:val="24"/>
          <w:szCs w:val="24"/>
        </w:rPr>
        <w:lastRenderedPageBreak/>
        <w:t xml:space="preserve">Services Panel for scrutiny, with an end of year report included in the </w:t>
      </w:r>
      <w:smartTag w:uri="urn:schemas-microsoft-com:office:smarttags" w:element="PersonName">
        <w:r w:rsidRPr="00AC5A14">
          <w:rPr>
            <w:rFonts w:ascii="Arial" w:hAnsi="Arial" w:cs="Arial"/>
            <w:sz w:val="24"/>
            <w:szCs w:val="24"/>
          </w:rPr>
          <w:t>Tenants</w:t>
        </w:r>
      </w:smartTag>
      <w:r w:rsidRPr="00AC5A14">
        <w:rPr>
          <w:rFonts w:ascii="Arial" w:hAnsi="Arial" w:cs="Arial"/>
          <w:sz w:val="24"/>
          <w:szCs w:val="24"/>
        </w:rPr>
        <w:t xml:space="preserve"> Annual Report.</w:t>
      </w:r>
    </w:p>
    <w:p w14:paraId="7AC24399" w14:textId="77777777" w:rsidR="00166949" w:rsidRDefault="00166949" w:rsidP="000048D2">
      <w:pPr>
        <w:pStyle w:val="Footer"/>
        <w:tabs>
          <w:tab w:val="clear" w:pos="4153"/>
          <w:tab w:val="clear" w:pos="8306"/>
        </w:tabs>
        <w:rPr>
          <w:rFonts w:ascii="Arial" w:hAnsi="Arial" w:cs="Arial"/>
          <w:sz w:val="24"/>
          <w:szCs w:val="24"/>
        </w:rPr>
      </w:pPr>
    </w:p>
    <w:p w14:paraId="09A82CA9" w14:textId="77777777" w:rsidR="00166949" w:rsidRPr="00AC5A14" w:rsidRDefault="000560D9" w:rsidP="000048D2">
      <w:pPr>
        <w:pStyle w:val="Footer"/>
        <w:tabs>
          <w:tab w:val="clear" w:pos="4153"/>
          <w:tab w:val="clear" w:pos="8306"/>
        </w:tabs>
        <w:rPr>
          <w:rFonts w:ascii="Arial" w:hAnsi="Arial" w:cs="Arial"/>
          <w:sz w:val="24"/>
          <w:szCs w:val="24"/>
        </w:rPr>
      </w:pPr>
      <w:r>
        <w:rPr>
          <w:rFonts w:ascii="Arial" w:hAnsi="Arial" w:cs="Arial"/>
          <w:sz w:val="24"/>
          <w:szCs w:val="24"/>
        </w:rPr>
        <w:t xml:space="preserve">As part of the Council’s monitoring process we will also analyse </w:t>
      </w:r>
      <w:r w:rsidR="00BC1A80">
        <w:rPr>
          <w:rFonts w:ascii="Arial" w:hAnsi="Arial" w:cs="Arial"/>
          <w:sz w:val="24"/>
          <w:szCs w:val="24"/>
        </w:rPr>
        <w:t xml:space="preserve">arrears data to assess whether this policy and related procedures have an adverse impact </w:t>
      </w:r>
      <w:r w:rsidR="00E72CE2">
        <w:rPr>
          <w:rFonts w:ascii="Arial" w:hAnsi="Arial" w:cs="Arial"/>
          <w:sz w:val="24"/>
          <w:szCs w:val="24"/>
        </w:rPr>
        <w:t xml:space="preserve">on </w:t>
      </w:r>
      <w:r w:rsidR="00F7169B">
        <w:rPr>
          <w:rFonts w:ascii="Arial" w:hAnsi="Arial" w:cs="Arial"/>
          <w:sz w:val="24"/>
          <w:szCs w:val="24"/>
        </w:rPr>
        <w:t>the</w:t>
      </w:r>
      <w:r w:rsidR="00E72CE2">
        <w:rPr>
          <w:rFonts w:ascii="Arial" w:hAnsi="Arial" w:cs="Arial"/>
          <w:sz w:val="24"/>
          <w:szCs w:val="24"/>
        </w:rPr>
        <w:t xml:space="preserve"> protected characteristic groups</w:t>
      </w:r>
    </w:p>
    <w:p w14:paraId="13C60E6A" w14:textId="37E369CE" w:rsidR="00D81E71" w:rsidRDefault="00CE63A9" w:rsidP="00080B60">
      <w:pPr>
        <w:pStyle w:val="Footer"/>
        <w:tabs>
          <w:tab w:val="clear" w:pos="4153"/>
          <w:tab w:val="clear" w:pos="8306"/>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B135FAD" wp14:editId="10FC3E01">
                <wp:simplePos x="0" y="0"/>
                <wp:positionH relativeFrom="column">
                  <wp:posOffset>-62865</wp:posOffset>
                </wp:positionH>
                <wp:positionV relativeFrom="paragraph">
                  <wp:posOffset>147320</wp:posOffset>
                </wp:positionV>
                <wp:extent cx="5486400" cy="0"/>
                <wp:effectExtent l="0" t="0" r="0" b="0"/>
                <wp:wrapNone/>
                <wp:docPr id="23034296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B95F"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6pt" to="427.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" strokecolor="#969696"/>
            </w:pict>
          </mc:Fallback>
        </mc:AlternateContent>
      </w:r>
    </w:p>
    <w:p w14:paraId="3023A2C5" w14:textId="77777777" w:rsidR="00645335" w:rsidRDefault="00645335" w:rsidP="00080B60">
      <w:pPr>
        <w:pStyle w:val="Footer"/>
        <w:tabs>
          <w:tab w:val="clear" w:pos="4153"/>
          <w:tab w:val="clear" w:pos="8306"/>
        </w:tabs>
        <w:rPr>
          <w:rFonts w:ascii="Arial" w:hAnsi="Arial" w:cs="Arial"/>
          <w:sz w:val="24"/>
          <w:szCs w:val="24"/>
        </w:rPr>
      </w:pPr>
    </w:p>
    <w:p w14:paraId="62282420" w14:textId="77777777" w:rsidR="00645335" w:rsidRPr="006C51DF" w:rsidRDefault="006C51DF" w:rsidP="00355753">
      <w:pPr>
        <w:pStyle w:val="Footer"/>
        <w:tabs>
          <w:tab w:val="clear" w:pos="4153"/>
          <w:tab w:val="clear" w:pos="8306"/>
        </w:tabs>
        <w:rPr>
          <w:rFonts w:ascii="Arial" w:hAnsi="Arial" w:cs="Arial"/>
          <w:b/>
          <w:sz w:val="24"/>
          <w:szCs w:val="24"/>
        </w:rPr>
      </w:pPr>
      <w:r w:rsidRPr="006C51DF">
        <w:rPr>
          <w:rFonts w:ascii="Arial" w:hAnsi="Arial" w:cs="Arial"/>
          <w:b/>
          <w:sz w:val="24"/>
          <w:szCs w:val="24"/>
        </w:rPr>
        <w:t>REVIEW</w:t>
      </w:r>
    </w:p>
    <w:p w14:paraId="38FEC12F" w14:textId="77777777" w:rsidR="00AE09A8" w:rsidRDefault="006C51DF" w:rsidP="00355753">
      <w:pPr>
        <w:pStyle w:val="Footer"/>
        <w:tabs>
          <w:tab w:val="clear" w:pos="4153"/>
          <w:tab w:val="clear" w:pos="8306"/>
        </w:tabs>
        <w:rPr>
          <w:rFonts w:ascii="Arial" w:hAnsi="Arial" w:cs="Arial"/>
          <w:sz w:val="24"/>
          <w:szCs w:val="24"/>
        </w:rPr>
      </w:pPr>
      <w:r>
        <w:rPr>
          <w:rFonts w:ascii="Arial" w:hAnsi="Arial" w:cs="Arial"/>
          <w:sz w:val="24"/>
          <w:szCs w:val="24"/>
        </w:rPr>
        <w:t>Monitoring results will be used by Landlord Services to inform future policy review in this area. All reviews will tak</w:t>
      </w:r>
      <w:r w:rsidR="00AE09A8">
        <w:rPr>
          <w:rFonts w:ascii="Arial" w:hAnsi="Arial" w:cs="Arial"/>
          <w:sz w:val="24"/>
          <w:szCs w:val="24"/>
        </w:rPr>
        <w:t>e place in accordance with the guidance outlined in the Continuous Improvement and performance Management Framework document and consider whether:</w:t>
      </w:r>
    </w:p>
    <w:p w14:paraId="2045EE96" w14:textId="77777777" w:rsidR="00AE09A8" w:rsidRDefault="00AE09A8" w:rsidP="00355753">
      <w:pPr>
        <w:pStyle w:val="Footer"/>
        <w:tabs>
          <w:tab w:val="clear" w:pos="4153"/>
          <w:tab w:val="clear" w:pos="8306"/>
        </w:tabs>
        <w:rPr>
          <w:rFonts w:ascii="Arial" w:hAnsi="Arial" w:cs="Arial"/>
          <w:sz w:val="24"/>
          <w:szCs w:val="24"/>
        </w:rPr>
      </w:pPr>
    </w:p>
    <w:p w14:paraId="35DEA10C" w14:textId="77777777" w:rsidR="006C51DF" w:rsidRDefault="00AE09A8" w:rsidP="00AE09A8">
      <w:pPr>
        <w:pStyle w:val="Footer"/>
        <w:numPr>
          <w:ilvl w:val="0"/>
          <w:numId w:val="26"/>
        </w:numPr>
        <w:tabs>
          <w:tab w:val="clear" w:pos="4153"/>
          <w:tab w:val="clear" w:pos="8306"/>
        </w:tabs>
        <w:rPr>
          <w:rFonts w:ascii="Arial" w:hAnsi="Arial" w:cs="Arial"/>
          <w:sz w:val="24"/>
          <w:szCs w:val="24"/>
        </w:rPr>
      </w:pPr>
      <w:r>
        <w:rPr>
          <w:rFonts w:ascii="Arial" w:hAnsi="Arial" w:cs="Arial"/>
          <w:sz w:val="24"/>
          <w:szCs w:val="24"/>
        </w:rPr>
        <w:t>The policy adheres to legislative and regulatory requirements, and reflects good practice</w:t>
      </w:r>
    </w:p>
    <w:p w14:paraId="38D517CF" w14:textId="77777777" w:rsidR="00AE09A8" w:rsidRDefault="00AE09A8" w:rsidP="00AE09A8">
      <w:pPr>
        <w:pStyle w:val="Footer"/>
        <w:numPr>
          <w:ilvl w:val="0"/>
          <w:numId w:val="26"/>
        </w:numPr>
        <w:tabs>
          <w:tab w:val="clear" w:pos="4153"/>
          <w:tab w:val="clear" w:pos="8306"/>
        </w:tabs>
        <w:rPr>
          <w:rFonts w:ascii="Arial" w:hAnsi="Arial" w:cs="Arial"/>
          <w:sz w:val="24"/>
          <w:szCs w:val="24"/>
        </w:rPr>
      </w:pPr>
      <w:r>
        <w:rPr>
          <w:rFonts w:ascii="Arial" w:hAnsi="Arial" w:cs="Arial"/>
          <w:sz w:val="24"/>
          <w:szCs w:val="24"/>
        </w:rPr>
        <w:t>The aims and objectives of the policy are being met</w:t>
      </w:r>
    </w:p>
    <w:p w14:paraId="61FF40DB" w14:textId="77777777" w:rsidR="00AE09A8" w:rsidRDefault="00E72CE2" w:rsidP="00AE09A8">
      <w:pPr>
        <w:pStyle w:val="Footer"/>
        <w:numPr>
          <w:ilvl w:val="0"/>
          <w:numId w:val="26"/>
        </w:numPr>
        <w:tabs>
          <w:tab w:val="clear" w:pos="4153"/>
          <w:tab w:val="clear" w:pos="8306"/>
        </w:tabs>
        <w:rPr>
          <w:rFonts w:ascii="Arial" w:hAnsi="Arial" w:cs="Arial"/>
          <w:sz w:val="24"/>
          <w:szCs w:val="24"/>
        </w:rPr>
      </w:pPr>
      <w:r>
        <w:rPr>
          <w:rFonts w:ascii="Arial" w:hAnsi="Arial" w:cs="Arial"/>
          <w:sz w:val="24"/>
          <w:szCs w:val="24"/>
        </w:rPr>
        <w:t xml:space="preserve">The current </w:t>
      </w:r>
      <w:r w:rsidR="00AE09A8">
        <w:rPr>
          <w:rFonts w:ascii="Arial" w:hAnsi="Arial" w:cs="Arial"/>
          <w:sz w:val="24"/>
          <w:szCs w:val="24"/>
        </w:rPr>
        <w:t>policy meets the needs and aspirations of our customer base</w:t>
      </w:r>
    </w:p>
    <w:p w14:paraId="1867F78A" w14:textId="77777777" w:rsidR="00AE09A8" w:rsidRDefault="00AE09A8" w:rsidP="00AE09A8">
      <w:pPr>
        <w:pStyle w:val="Footer"/>
        <w:numPr>
          <w:ilvl w:val="0"/>
          <w:numId w:val="26"/>
        </w:numPr>
        <w:tabs>
          <w:tab w:val="clear" w:pos="4153"/>
          <w:tab w:val="clear" w:pos="8306"/>
        </w:tabs>
        <w:rPr>
          <w:rFonts w:ascii="Arial" w:hAnsi="Arial" w:cs="Arial"/>
          <w:sz w:val="24"/>
          <w:szCs w:val="24"/>
        </w:rPr>
      </w:pPr>
      <w:r>
        <w:rPr>
          <w:rFonts w:ascii="Arial" w:hAnsi="Arial" w:cs="Arial"/>
          <w:sz w:val="24"/>
          <w:szCs w:val="24"/>
        </w:rPr>
        <w:t>Service users are aware of and understand the policy and believe it to be consistent and fair</w:t>
      </w:r>
    </w:p>
    <w:p w14:paraId="679024C6" w14:textId="77777777" w:rsidR="00AE09A8" w:rsidRDefault="00AE09A8" w:rsidP="00AE09A8">
      <w:pPr>
        <w:pStyle w:val="Footer"/>
        <w:numPr>
          <w:ilvl w:val="0"/>
          <w:numId w:val="26"/>
        </w:numPr>
        <w:tabs>
          <w:tab w:val="clear" w:pos="4153"/>
          <w:tab w:val="clear" w:pos="8306"/>
        </w:tabs>
        <w:rPr>
          <w:rFonts w:ascii="Arial" w:hAnsi="Arial" w:cs="Arial"/>
          <w:sz w:val="24"/>
          <w:szCs w:val="24"/>
        </w:rPr>
      </w:pPr>
      <w:r>
        <w:rPr>
          <w:rFonts w:ascii="Arial" w:hAnsi="Arial" w:cs="Arial"/>
          <w:sz w:val="24"/>
          <w:szCs w:val="24"/>
        </w:rPr>
        <w:t>The policy provides sufficient choice for customers</w:t>
      </w:r>
    </w:p>
    <w:p w14:paraId="1FDFB040" w14:textId="575EE58B" w:rsidR="00AE09A8" w:rsidRDefault="00AE09A8" w:rsidP="00AE09A8">
      <w:pPr>
        <w:pStyle w:val="Footer"/>
        <w:numPr>
          <w:ilvl w:val="0"/>
          <w:numId w:val="26"/>
        </w:numPr>
        <w:tabs>
          <w:tab w:val="clear" w:pos="4153"/>
          <w:tab w:val="clear" w:pos="8306"/>
        </w:tabs>
        <w:rPr>
          <w:rFonts w:ascii="Arial" w:hAnsi="Arial" w:cs="Arial"/>
          <w:sz w:val="24"/>
          <w:szCs w:val="24"/>
        </w:rPr>
      </w:pPr>
      <w:r>
        <w:rPr>
          <w:rFonts w:ascii="Arial" w:hAnsi="Arial" w:cs="Arial"/>
          <w:sz w:val="24"/>
          <w:szCs w:val="24"/>
        </w:rPr>
        <w:t xml:space="preserve">The service offers value for </w:t>
      </w:r>
      <w:r w:rsidR="00CE63A9">
        <w:rPr>
          <w:rFonts w:ascii="Arial" w:hAnsi="Arial" w:cs="Arial"/>
          <w:sz w:val="24"/>
          <w:szCs w:val="24"/>
        </w:rPr>
        <w:t>money.</w:t>
      </w:r>
    </w:p>
    <w:p w14:paraId="63794570" w14:textId="77777777" w:rsidR="00645335" w:rsidRDefault="00645335" w:rsidP="00645335">
      <w:pPr>
        <w:pStyle w:val="Footer"/>
        <w:tabs>
          <w:tab w:val="clear" w:pos="4153"/>
          <w:tab w:val="clear" w:pos="8306"/>
        </w:tabs>
        <w:ind w:left="180"/>
        <w:rPr>
          <w:rFonts w:ascii="Arial" w:hAnsi="Arial" w:cs="Arial"/>
          <w:sz w:val="24"/>
          <w:szCs w:val="24"/>
        </w:rPr>
      </w:pPr>
    </w:p>
    <w:p w14:paraId="3E69D0C0" w14:textId="723A493B" w:rsidR="00AE09A8" w:rsidRDefault="00CE63A9" w:rsidP="00AE09A8">
      <w:pPr>
        <w:pStyle w:val="Footer"/>
        <w:tabs>
          <w:tab w:val="clear" w:pos="4153"/>
          <w:tab w:val="clear" w:pos="8306"/>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14A4424" wp14:editId="7BB53835">
                <wp:simplePos x="0" y="0"/>
                <wp:positionH relativeFrom="column">
                  <wp:posOffset>-62865</wp:posOffset>
                </wp:positionH>
                <wp:positionV relativeFrom="paragraph">
                  <wp:posOffset>63500</wp:posOffset>
                </wp:positionV>
                <wp:extent cx="5486400" cy="0"/>
                <wp:effectExtent l="0" t="0" r="0" b="0"/>
                <wp:wrapNone/>
                <wp:docPr id="18637073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33E97"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42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" strokecolor="#969696"/>
            </w:pict>
          </mc:Fallback>
        </mc:AlternateContent>
      </w:r>
    </w:p>
    <w:p w14:paraId="7C7A2146" w14:textId="77777777" w:rsidR="00AE09A8" w:rsidRPr="00CB0925" w:rsidRDefault="00AE09A8" w:rsidP="00AE09A8">
      <w:pPr>
        <w:pStyle w:val="Footer"/>
        <w:tabs>
          <w:tab w:val="clear" w:pos="4153"/>
          <w:tab w:val="clear" w:pos="8306"/>
        </w:tabs>
        <w:rPr>
          <w:rFonts w:ascii="Arial" w:hAnsi="Arial" w:cs="Arial"/>
          <w:b/>
          <w:sz w:val="24"/>
          <w:szCs w:val="24"/>
        </w:rPr>
      </w:pPr>
      <w:r w:rsidRPr="00AE09A8">
        <w:rPr>
          <w:rFonts w:ascii="Arial" w:hAnsi="Arial" w:cs="Arial"/>
          <w:b/>
          <w:sz w:val="24"/>
          <w:szCs w:val="24"/>
        </w:rPr>
        <w:t>RESPONSIBILITY</w:t>
      </w:r>
    </w:p>
    <w:p w14:paraId="745B7E3A" w14:textId="77777777" w:rsidR="008C16D6" w:rsidRPr="0092435F" w:rsidRDefault="008C16D6" w:rsidP="00AE09A8">
      <w:pPr>
        <w:pStyle w:val="Footer"/>
        <w:tabs>
          <w:tab w:val="clear" w:pos="4153"/>
          <w:tab w:val="clear" w:pos="8306"/>
        </w:tabs>
        <w:rPr>
          <w:rFonts w:ascii="Arial" w:hAnsi="Arial" w:cs="Arial"/>
          <w:sz w:val="24"/>
          <w:szCs w:val="24"/>
        </w:rPr>
      </w:pPr>
      <w:r>
        <w:rPr>
          <w:rFonts w:ascii="Arial" w:hAnsi="Arial" w:cs="Arial"/>
          <w:sz w:val="24"/>
          <w:szCs w:val="24"/>
        </w:rPr>
        <w:t>Landlord Services Manager is responsible for the operational delivery of this policy and associated procedures. This includes responsibility for monitoring and review, staff awareness and training, policy development and communication to customers.</w:t>
      </w:r>
    </w:p>
    <w:p w14:paraId="75066463" w14:textId="0A5452F0" w:rsidR="007650DA" w:rsidRDefault="00CE63A9" w:rsidP="00080B60">
      <w:pPr>
        <w:pStyle w:val="Footer"/>
        <w:tabs>
          <w:tab w:val="clear" w:pos="4153"/>
          <w:tab w:val="clear" w:pos="8306"/>
        </w:tabs>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6192" behindDoc="0" locked="0" layoutInCell="1" allowOverlap="1" wp14:anchorId="4925002E" wp14:editId="4E1803BD">
                <wp:simplePos x="0" y="0"/>
                <wp:positionH relativeFrom="column">
                  <wp:posOffset>0</wp:posOffset>
                </wp:positionH>
                <wp:positionV relativeFrom="paragraph">
                  <wp:posOffset>153035</wp:posOffset>
                </wp:positionV>
                <wp:extent cx="5486400" cy="0"/>
                <wp:effectExtent l="0" t="0" r="0" b="0"/>
                <wp:wrapNone/>
                <wp:docPr id="14277251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1FDA3"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6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"/>
            </w:pict>
          </mc:Fallback>
        </mc:AlternateContent>
      </w:r>
    </w:p>
    <w:p w14:paraId="11462AC5" w14:textId="77777777" w:rsidR="007650DA" w:rsidRDefault="007650DA" w:rsidP="00080B60">
      <w:pPr>
        <w:pStyle w:val="Footer"/>
        <w:tabs>
          <w:tab w:val="clear" w:pos="4153"/>
          <w:tab w:val="clear" w:pos="8306"/>
        </w:tabs>
        <w:rPr>
          <w:rFonts w:ascii="Arial" w:hAnsi="Arial" w:cs="Arial"/>
          <w:b/>
          <w:bCs/>
          <w:sz w:val="24"/>
          <w:szCs w:val="24"/>
        </w:rPr>
      </w:pPr>
      <w:r>
        <w:rPr>
          <w:rFonts w:ascii="Arial" w:hAnsi="Arial" w:cs="Arial"/>
          <w:b/>
          <w:bCs/>
          <w:sz w:val="24"/>
          <w:szCs w:val="24"/>
        </w:rPr>
        <w:t xml:space="preserve">                                                                                                                                  </w:t>
      </w:r>
    </w:p>
    <w:p w14:paraId="4BE38455" w14:textId="77777777" w:rsidR="00080B60" w:rsidRPr="0092435F" w:rsidRDefault="00080B60" w:rsidP="00080B60">
      <w:pPr>
        <w:pStyle w:val="Footer"/>
        <w:tabs>
          <w:tab w:val="clear" w:pos="4153"/>
          <w:tab w:val="clear" w:pos="8306"/>
        </w:tabs>
        <w:rPr>
          <w:rFonts w:ascii="Arial" w:hAnsi="Arial" w:cs="Arial"/>
          <w:b/>
          <w:bCs/>
          <w:sz w:val="24"/>
          <w:szCs w:val="24"/>
        </w:rPr>
      </w:pPr>
      <w:r w:rsidRPr="0092435F">
        <w:rPr>
          <w:rFonts w:ascii="Arial" w:hAnsi="Arial" w:cs="Arial"/>
          <w:b/>
          <w:bCs/>
          <w:sz w:val="24"/>
          <w:szCs w:val="24"/>
        </w:rPr>
        <w:t>OTHER VERSIONS OF THIS POLICY</w:t>
      </w:r>
    </w:p>
    <w:p w14:paraId="725896A1" w14:textId="77777777" w:rsidR="00080B60" w:rsidRPr="0092435F" w:rsidRDefault="00F219D3" w:rsidP="00FF49AC">
      <w:pPr>
        <w:rPr>
          <w:rFonts w:ascii="Arial" w:hAnsi="Arial" w:cs="Arial"/>
          <w:b/>
          <w:sz w:val="24"/>
          <w:szCs w:val="24"/>
        </w:rPr>
      </w:pPr>
      <w:r>
        <w:rPr>
          <w:rFonts w:ascii="Arial" w:hAnsi="Arial" w:cs="Arial"/>
          <w:sz w:val="24"/>
          <w:szCs w:val="24"/>
        </w:rPr>
        <w:t>None</w:t>
      </w:r>
    </w:p>
    <w:sectPr w:rsidR="00080B60" w:rsidRPr="0092435F" w:rsidSect="0068486C">
      <w:footerReference w:type="default" r:id="rId8"/>
      <w:pgSz w:w="12242" w:h="15842" w:code="1"/>
      <w:pgMar w:top="709"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EBEC" w14:textId="77777777" w:rsidR="0068486C" w:rsidRDefault="0068486C">
      <w:r>
        <w:separator/>
      </w:r>
    </w:p>
  </w:endnote>
  <w:endnote w:type="continuationSeparator" w:id="0">
    <w:p w14:paraId="28573913" w14:textId="77777777" w:rsidR="0068486C" w:rsidRDefault="0068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884F" w14:textId="77777777" w:rsidR="00861750" w:rsidRDefault="00861750" w:rsidP="008617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D2E2" w14:textId="77777777" w:rsidR="0068486C" w:rsidRDefault="0068486C">
      <w:r>
        <w:separator/>
      </w:r>
    </w:p>
  </w:footnote>
  <w:footnote w:type="continuationSeparator" w:id="0">
    <w:p w14:paraId="4C5F48F3" w14:textId="77777777" w:rsidR="0068486C" w:rsidRDefault="0068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767FDA"/>
    <w:lvl w:ilvl="0">
      <w:numFmt w:val="decimal"/>
      <w:lvlText w:val="*"/>
      <w:lvlJc w:val="left"/>
    </w:lvl>
  </w:abstractNum>
  <w:abstractNum w:abstractNumId="1" w15:restartNumberingAfterBreak="0">
    <w:nsid w:val="024D00DB"/>
    <w:multiLevelType w:val="hybridMultilevel"/>
    <w:tmpl w:val="032ACD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4E8"/>
    <w:multiLevelType w:val="hybridMultilevel"/>
    <w:tmpl w:val="0FDCC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26C7C"/>
    <w:multiLevelType w:val="hybridMultilevel"/>
    <w:tmpl w:val="63205B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C299C"/>
    <w:multiLevelType w:val="hybridMultilevel"/>
    <w:tmpl w:val="BBA65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94D6E"/>
    <w:multiLevelType w:val="hybridMultilevel"/>
    <w:tmpl w:val="57527F9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791D"/>
    <w:multiLevelType w:val="hybridMultilevel"/>
    <w:tmpl w:val="40F699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45883"/>
    <w:multiLevelType w:val="hybridMultilevel"/>
    <w:tmpl w:val="4DAC0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40271"/>
    <w:multiLevelType w:val="hybridMultilevel"/>
    <w:tmpl w:val="B7F0F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2511E"/>
    <w:multiLevelType w:val="hybridMultilevel"/>
    <w:tmpl w:val="85769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C467D3"/>
    <w:multiLevelType w:val="hybridMultilevel"/>
    <w:tmpl w:val="C8B67D08"/>
    <w:lvl w:ilvl="0" w:tplc="08090005">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4A85C4C"/>
    <w:multiLevelType w:val="hybridMultilevel"/>
    <w:tmpl w:val="9AC29A6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B7E46"/>
    <w:multiLevelType w:val="hybridMultilevel"/>
    <w:tmpl w:val="110A068C"/>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178C2"/>
    <w:multiLevelType w:val="hybridMultilevel"/>
    <w:tmpl w:val="FE349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6124A"/>
    <w:multiLevelType w:val="hybridMultilevel"/>
    <w:tmpl w:val="9F805F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C1B6D"/>
    <w:multiLevelType w:val="hybridMultilevel"/>
    <w:tmpl w:val="AA7858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246A4D"/>
    <w:multiLevelType w:val="hybridMultilevel"/>
    <w:tmpl w:val="C7BA9E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FF0FD2"/>
    <w:multiLevelType w:val="hybridMultilevel"/>
    <w:tmpl w:val="19264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87501"/>
    <w:multiLevelType w:val="hybridMultilevel"/>
    <w:tmpl w:val="D9DC7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B1D3B"/>
    <w:multiLevelType w:val="hybridMultilevel"/>
    <w:tmpl w:val="52889C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92396"/>
    <w:multiLevelType w:val="hybridMultilevel"/>
    <w:tmpl w:val="D58CE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938D5"/>
    <w:multiLevelType w:val="hybridMultilevel"/>
    <w:tmpl w:val="1E6EC6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01655A"/>
    <w:multiLevelType w:val="hybridMultilevel"/>
    <w:tmpl w:val="D8FCB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043F2"/>
    <w:multiLevelType w:val="hybridMultilevel"/>
    <w:tmpl w:val="D30605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D9240C"/>
    <w:multiLevelType w:val="hybridMultilevel"/>
    <w:tmpl w:val="3B905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83298"/>
    <w:multiLevelType w:val="hybridMultilevel"/>
    <w:tmpl w:val="3F4CB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7962958">
    <w:abstractNumId w:val="9"/>
  </w:num>
  <w:num w:numId="2" w16cid:durableId="5348561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177410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736927892">
    <w:abstractNumId w:val="7"/>
  </w:num>
  <w:num w:numId="5" w16cid:durableId="1987582265">
    <w:abstractNumId w:val="17"/>
  </w:num>
  <w:num w:numId="6" w16cid:durableId="1287926122">
    <w:abstractNumId w:val="13"/>
  </w:num>
  <w:num w:numId="7" w16cid:durableId="1606382755">
    <w:abstractNumId w:val="2"/>
  </w:num>
  <w:num w:numId="8" w16cid:durableId="1438136431">
    <w:abstractNumId w:val="18"/>
  </w:num>
  <w:num w:numId="9" w16cid:durableId="990520300">
    <w:abstractNumId w:val="8"/>
  </w:num>
  <w:num w:numId="10" w16cid:durableId="1451972625">
    <w:abstractNumId w:val="12"/>
  </w:num>
  <w:num w:numId="11" w16cid:durableId="1006060026">
    <w:abstractNumId w:val="4"/>
  </w:num>
  <w:num w:numId="12" w16cid:durableId="1585602941">
    <w:abstractNumId w:val="22"/>
  </w:num>
  <w:num w:numId="13" w16cid:durableId="1163551665">
    <w:abstractNumId w:val="24"/>
  </w:num>
  <w:num w:numId="14" w16cid:durableId="1163815723">
    <w:abstractNumId w:val="1"/>
  </w:num>
  <w:num w:numId="15" w16cid:durableId="800923607">
    <w:abstractNumId w:val="15"/>
  </w:num>
  <w:num w:numId="16" w16cid:durableId="931277421">
    <w:abstractNumId w:val="23"/>
  </w:num>
  <w:num w:numId="17" w16cid:durableId="1209032743">
    <w:abstractNumId w:val="21"/>
  </w:num>
  <w:num w:numId="18" w16cid:durableId="274484331">
    <w:abstractNumId w:val="25"/>
  </w:num>
  <w:num w:numId="19" w16cid:durableId="1961641987">
    <w:abstractNumId w:val="11"/>
  </w:num>
  <w:num w:numId="20" w16cid:durableId="1705329615">
    <w:abstractNumId w:val="16"/>
  </w:num>
  <w:num w:numId="21" w16cid:durableId="820124116">
    <w:abstractNumId w:val="20"/>
  </w:num>
  <w:num w:numId="22" w16cid:durableId="34083476">
    <w:abstractNumId w:val="5"/>
  </w:num>
  <w:num w:numId="23" w16cid:durableId="1747532202">
    <w:abstractNumId w:val="14"/>
  </w:num>
  <w:num w:numId="24" w16cid:durableId="2124616209">
    <w:abstractNumId w:val="6"/>
  </w:num>
  <w:num w:numId="25" w16cid:durableId="1357922891">
    <w:abstractNumId w:val="3"/>
  </w:num>
  <w:num w:numId="26" w16cid:durableId="1889492073">
    <w:abstractNumId w:val="10"/>
  </w:num>
  <w:num w:numId="27" w16cid:durableId="17321180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909"/>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04"/>
    <w:rsid w:val="000048D2"/>
    <w:rsid w:val="00012052"/>
    <w:rsid w:val="00031710"/>
    <w:rsid w:val="00045A2F"/>
    <w:rsid w:val="00055D81"/>
    <w:rsid w:val="000560D9"/>
    <w:rsid w:val="00072ECB"/>
    <w:rsid w:val="00080B60"/>
    <w:rsid w:val="00081C54"/>
    <w:rsid w:val="000C2E26"/>
    <w:rsid w:val="000E6A69"/>
    <w:rsid w:val="000F0079"/>
    <w:rsid w:val="000F50A6"/>
    <w:rsid w:val="00147D00"/>
    <w:rsid w:val="00163AC8"/>
    <w:rsid w:val="001652D9"/>
    <w:rsid w:val="00166949"/>
    <w:rsid w:val="00196D61"/>
    <w:rsid w:val="001E39DC"/>
    <w:rsid w:val="001F692C"/>
    <w:rsid w:val="00202872"/>
    <w:rsid w:val="002268DD"/>
    <w:rsid w:val="00263377"/>
    <w:rsid w:val="00277723"/>
    <w:rsid w:val="002952EC"/>
    <w:rsid w:val="002975B9"/>
    <w:rsid w:val="002A0CBD"/>
    <w:rsid w:val="002A7A0B"/>
    <w:rsid w:val="002B68E5"/>
    <w:rsid w:val="002D1E12"/>
    <w:rsid w:val="002E4FE5"/>
    <w:rsid w:val="002E6C08"/>
    <w:rsid w:val="00312A49"/>
    <w:rsid w:val="003336CE"/>
    <w:rsid w:val="00344DAB"/>
    <w:rsid w:val="00355753"/>
    <w:rsid w:val="00355E4F"/>
    <w:rsid w:val="00371196"/>
    <w:rsid w:val="00372E6F"/>
    <w:rsid w:val="00390BE2"/>
    <w:rsid w:val="003A4CDD"/>
    <w:rsid w:val="003C1FFA"/>
    <w:rsid w:val="003D119F"/>
    <w:rsid w:val="003D5457"/>
    <w:rsid w:val="003E14DE"/>
    <w:rsid w:val="00412517"/>
    <w:rsid w:val="0042020D"/>
    <w:rsid w:val="00440181"/>
    <w:rsid w:val="0044394A"/>
    <w:rsid w:val="00450755"/>
    <w:rsid w:val="00462B6F"/>
    <w:rsid w:val="00476129"/>
    <w:rsid w:val="0048290D"/>
    <w:rsid w:val="00491677"/>
    <w:rsid w:val="00493B3E"/>
    <w:rsid w:val="004A33D8"/>
    <w:rsid w:val="004B5DD6"/>
    <w:rsid w:val="004E1AFE"/>
    <w:rsid w:val="004E7F8D"/>
    <w:rsid w:val="004F7D27"/>
    <w:rsid w:val="00513441"/>
    <w:rsid w:val="0057523F"/>
    <w:rsid w:val="00581BAB"/>
    <w:rsid w:val="005867EB"/>
    <w:rsid w:val="005A0605"/>
    <w:rsid w:val="005A2F14"/>
    <w:rsid w:val="005A53F5"/>
    <w:rsid w:val="005B3E0E"/>
    <w:rsid w:val="005B56D5"/>
    <w:rsid w:val="005D079C"/>
    <w:rsid w:val="005D5720"/>
    <w:rsid w:val="005E41E1"/>
    <w:rsid w:val="005F33AB"/>
    <w:rsid w:val="00603740"/>
    <w:rsid w:val="006060D0"/>
    <w:rsid w:val="006226AA"/>
    <w:rsid w:val="00625988"/>
    <w:rsid w:val="00634F8F"/>
    <w:rsid w:val="00645335"/>
    <w:rsid w:val="0064760E"/>
    <w:rsid w:val="0068486C"/>
    <w:rsid w:val="00696758"/>
    <w:rsid w:val="006C51DF"/>
    <w:rsid w:val="006E7135"/>
    <w:rsid w:val="006F0E70"/>
    <w:rsid w:val="006F398C"/>
    <w:rsid w:val="0070650A"/>
    <w:rsid w:val="00707DDD"/>
    <w:rsid w:val="007265F0"/>
    <w:rsid w:val="00736C22"/>
    <w:rsid w:val="007372C8"/>
    <w:rsid w:val="007526FC"/>
    <w:rsid w:val="00760A40"/>
    <w:rsid w:val="007650DA"/>
    <w:rsid w:val="007714F4"/>
    <w:rsid w:val="0078055E"/>
    <w:rsid w:val="00781D90"/>
    <w:rsid w:val="007B0F0B"/>
    <w:rsid w:val="007E18C9"/>
    <w:rsid w:val="007E3309"/>
    <w:rsid w:val="007F140D"/>
    <w:rsid w:val="00802EE3"/>
    <w:rsid w:val="00830955"/>
    <w:rsid w:val="008411EC"/>
    <w:rsid w:val="00852B24"/>
    <w:rsid w:val="00856259"/>
    <w:rsid w:val="00861750"/>
    <w:rsid w:val="0086768D"/>
    <w:rsid w:val="00882A70"/>
    <w:rsid w:val="0088587D"/>
    <w:rsid w:val="00885891"/>
    <w:rsid w:val="00885A02"/>
    <w:rsid w:val="008A1194"/>
    <w:rsid w:val="008C16D6"/>
    <w:rsid w:val="008C440B"/>
    <w:rsid w:val="008C7C54"/>
    <w:rsid w:val="008E5FDA"/>
    <w:rsid w:val="008F45D2"/>
    <w:rsid w:val="0092435F"/>
    <w:rsid w:val="0093003B"/>
    <w:rsid w:val="0093634B"/>
    <w:rsid w:val="009604F5"/>
    <w:rsid w:val="00962AAC"/>
    <w:rsid w:val="00993C26"/>
    <w:rsid w:val="009F70D0"/>
    <w:rsid w:val="00A03871"/>
    <w:rsid w:val="00A239BA"/>
    <w:rsid w:val="00A33F23"/>
    <w:rsid w:val="00A80EB1"/>
    <w:rsid w:val="00AA3564"/>
    <w:rsid w:val="00AC1835"/>
    <w:rsid w:val="00AC27CC"/>
    <w:rsid w:val="00AC4CC7"/>
    <w:rsid w:val="00AE09A8"/>
    <w:rsid w:val="00B25C65"/>
    <w:rsid w:val="00B6105D"/>
    <w:rsid w:val="00B62DAB"/>
    <w:rsid w:val="00B849AB"/>
    <w:rsid w:val="00B92321"/>
    <w:rsid w:val="00BC1A80"/>
    <w:rsid w:val="00BE2836"/>
    <w:rsid w:val="00C330EA"/>
    <w:rsid w:val="00C50384"/>
    <w:rsid w:val="00C536C8"/>
    <w:rsid w:val="00C62FFF"/>
    <w:rsid w:val="00C76A00"/>
    <w:rsid w:val="00CA1FCD"/>
    <w:rsid w:val="00CB0925"/>
    <w:rsid w:val="00CB0A04"/>
    <w:rsid w:val="00CB1414"/>
    <w:rsid w:val="00CB30FD"/>
    <w:rsid w:val="00CC4C3D"/>
    <w:rsid w:val="00CD16CF"/>
    <w:rsid w:val="00CD7533"/>
    <w:rsid w:val="00CE63A9"/>
    <w:rsid w:val="00CF7958"/>
    <w:rsid w:val="00D31E97"/>
    <w:rsid w:val="00D31FCF"/>
    <w:rsid w:val="00D56952"/>
    <w:rsid w:val="00D81E71"/>
    <w:rsid w:val="00DB29D0"/>
    <w:rsid w:val="00DB39F7"/>
    <w:rsid w:val="00DB4E00"/>
    <w:rsid w:val="00DB78B1"/>
    <w:rsid w:val="00DC1F95"/>
    <w:rsid w:val="00DC682A"/>
    <w:rsid w:val="00DD75F6"/>
    <w:rsid w:val="00DE0A3C"/>
    <w:rsid w:val="00E42671"/>
    <w:rsid w:val="00E72CE2"/>
    <w:rsid w:val="00E73EF6"/>
    <w:rsid w:val="00E761D0"/>
    <w:rsid w:val="00E822C3"/>
    <w:rsid w:val="00E94874"/>
    <w:rsid w:val="00E96C98"/>
    <w:rsid w:val="00EB2712"/>
    <w:rsid w:val="00ED2EF4"/>
    <w:rsid w:val="00F219D3"/>
    <w:rsid w:val="00F338E1"/>
    <w:rsid w:val="00F7169B"/>
    <w:rsid w:val="00FA27D0"/>
    <w:rsid w:val="00FA6114"/>
    <w:rsid w:val="00FC4C49"/>
    <w:rsid w:val="00FE0F4D"/>
    <w:rsid w:val="00FE2423"/>
    <w:rsid w:val="00FF4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909"/>
    </o:shapedefaults>
    <o:shapelayout v:ext="edit">
      <o:idmap v:ext="edit" data="2"/>
    </o:shapelayout>
  </w:shapeDefaults>
  <w:decimalSymbol w:val="."/>
  <w:listSeparator w:val=","/>
  <w14:docId w14:val="19A5159F"/>
  <w15:chartTrackingRefBased/>
  <w15:docId w15:val="{DCB029BE-B5F7-4A1B-92AE-44FED644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64"/>
    <w:pPr>
      <w:overflowPunct w:val="0"/>
      <w:autoSpaceDE w:val="0"/>
      <w:autoSpaceDN w:val="0"/>
      <w:adjustRightInd w:val="0"/>
      <w:textAlignment w:val="baseline"/>
    </w:pPr>
  </w:style>
  <w:style w:type="paragraph" w:styleId="Heading1">
    <w:name w:val="heading 1"/>
    <w:basedOn w:val="Normal"/>
    <w:next w:val="Normal"/>
    <w:qFormat/>
    <w:rsid w:val="000F0079"/>
    <w:pPr>
      <w:keepNext/>
      <w:jc w:val="both"/>
      <w:outlineLvl w:val="0"/>
    </w:pPr>
    <w:rPr>
      <w:sz w:val="24"/>
      <w:u w:val="single"/>
    </w:rPr>
  </w:style>
  <w:style w:type="paragraph" w:styleId="Heading2">
    <w:name w:val="heading 2"/>
    <w:basedOn w:val="Normal"/>
    <w:next w:val="Normal"/>
    <w:qFormat/>
    <w:rsid w:val="000F0079"/>
    <w:pPr>
      <w:keepNext/>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0079"/>
    <w:pPr>
      <w:jc w:val="both"/>
    </w:pPr>
    <w:rPr>
      <w:sz w:val="24"/>
    </w:rPr>
  </w:style>
  <w:style w:type="table" w:styleId="TableGrid">
    <w:name w:val="Table Grid"/>
    <w:basedOn w:val="TableNormal"/>
    <w:rsid w:val="007805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55E"/>
    <w:rPr>
      <w:rFonts w:ascii="Tahoma" w:hAnsi="Tahoma" w:cs="Tahoma"/>
      <w:sz w:val="16"/>
      <w:szCs w:val="16"/>
    </w:rPr>
  </w:style>
  <w:style w:type="paragraph" w:styleId="Header">
    <w:name w:val="header"/>
    <w:basedOn w:val="Normal"/>
    <w:rsid w:val="00861750"/>
    <w:pPr>
      <w:tabs>
        <w:tab w:val="center" w:pos="4153"/>
        <w:tab w:val="right" w:pos="8306"/>
      </w:tabs>
    </w:pPr>
  </w:style>
  <w:style w:type="paragraph" w:styleId="Footer">
    <w:name w:val="footer"/>
    <w:basedOn w:val="Normal"/>
    <w:rsid w:val="00861750"/>
    <w:pPr>
      <w:tabs>
        <w:tab w:val="center" w:pos="4153"/>
        <w:tab w:val="right" w:pos="8306"/>
      </w:tabs>
    </w:pPr>
  </w:style>
  <w:style w:type="character" w:styleId="PageNumber">
    <w:name w:val="page number"/>
    <w:basedOn w:val="DefaultParagraphFont"/>
    <w:rsid w:val="00861750"/>
  </w:style>
  <w:style w:type="character" w:styleId="Hyperlink">
    <w:name w:val="Hyperlink"/>
    <w:basedOn w:val="DefaultParagraphFont"/>
    <w:rsid w:val="00A80EB1"/>
    <w:rPr>
      <w:color w:val="0000FF"/>
      <w:sz w:val="20"/>
      <w:u w:val="single"/>
    </w:rPr>
  </w:style>
  <w:style w:type="table" w:styleId="TableGrid8">
    <w:name w:val="Table Grid 8"/>
    <w:basedOn w:val="TableNormal"/>
    <w:rsid w:val="00DC682A"/>
    <w:pPr>
      <w:widowControl w:val="0"/>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itle">
    <w:name w:val="Title"/>
    <w:basedOn w:val="Normal"/>
    <w:qFormat/>
    <w:rsid w:val="00DC682A"/>
    <w:pPr>
      <w:overflowPunct/>
      <w:autoSpaceDE/>
      <w:autoSpaceDN/>
      <w:adjustRightInd/>
      <w:jc w:val="center"/>
      <w:textAlignment w:val="auto"/>
    </w:pPr>
    <w:rPr>
      <w:rFonts w:ascii="Arial" w:hAnsi="Arial"/>
      <w:b/>
      <w:color w:val="000000"/>
      <w:sz w:val="24"/>
    </w:rPr>
  </w:style>
  <w:style w:type="paragraph" w:styleId="BlockText">
    <w:name w:val="Block Text"/>
    <w:basedOn w:val="Normal"/>
    <w:rsid w:val="00080B60"/>
    <w:pPr>
      <w:overflowPunct/>
      <w:autoSpaceDE/>
      <w:autoSpaceDN/>
      <w:adjustRightInd/>
      <w:ind w:left="1440" w:right="985" w:hanging="131"/>
      <w:textAlignment w:val="auto"/>
    </w:pPr>
    <w:rPr>
      <w:rFonts w:ascii="Arial" w:hAnsi="Arial"/>
      <w:sz w:val="24"/>
      <w:lang w:eastAsia="en-US"/>
    </w:rPr>
  </w:style>
  <w:style w:type="paragraph" w:styleId="Caption">
    <w:name w:val="caption"/>
    <w:basedOn w:val="Normal"/>
    <w:next w:val="Normal"/>
    <w:qFormat/>
    <w:rsid w:val="00080B60"/>
    <w:pPr>
      <w:overflowPunct/>
      <w:autoSpaceDE/>
      <w:autoSpaceDN/>
      <w:adjustRightInd/>
      <w:textAlignment w:val="auto"/>
    </w:pPr>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Mitek\Advice%20Not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Advice Note Template</Template>
  <TotalTime>6</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Income Management Policy</vt:lpstr>
    </vt:vector>
  </TitlesOfParts>
  <Company>CIH</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Management Policy</dc:title>
  <dc:subject/>
  <dc:creator/>
  <cp:keywords/>
  <dc:description/>
  <cp:lastModifiedBy>Christopher Jarvis</cp:lastModifiedBy>
  <cp:revision>4</cp:revision>
  <cp:lastPrinted>2013-06-19T14:27:00Z</cp:lastPrinted>
  <dcterms:created xsi:type="dcterms:W3CDTF">2024-04-15T14:29:00Z</dcterms:created>
  <dcterms:modified xsi:type="dcterms:W3CDTF">2024-04-15T15:01:00Z</dcterms:modified>
</cp:coreProperties>
</file>