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07FC" w14:textId="179E92F9" w:rsidR="00307039" w:rsidRPr="00B57900" w:rsidRDefault="0087064C" w:rsidP="0087064C">
      <w:pPr>
        <w:pStyle w:val="NoSpacing"/>
        <w:jc w:val="center"/>
        <w:rPr>
          <w:rFonts w:ascii="Arial" w:hAnsi="Arial" w:cs="Arial"/>
          <w:b/>
          <w:bCs/>
          <w:sz w:val="24"/>
          <w:szCs w:val="24"/>
        </w:rPr>
      </w:pPr>
      <w:r w:rsidRPr="00B57900">
        <w:rPr>
          <w:rFonts w:ascii="Arial" w:hAnsi="Arial" w:cs="Arial"/>
          <w:b/>
          <w:bCs/>
          <w:sz w:val="24"/>
          <w:szCs w:val="24"/>
        </w:rPr>
        <w:t>Mansfield Place Board</w:t>
      </w:r>
    </w:p>
    <w:p w14:paraId="6EF6099E" w14:textId="77777777" w:rsidR="0087064C" w:rsidRPr="00B57900" w:rsidRDefault="0087064C" w:rsidP="0087064C">
      <w:pPr>
        <w:pStyle w:val="NoSpacing"/>
        <w:jc w:val="center"/>
        <w:rPr>
          <w:rFonts w:ascii="Arial" w:hAnsi="Arial" w:cs="Arial"/>
          <w:b/>
          <w:bCs/>
          <w:sz w:val="24"/>
          <w:szCs w:val="24"/>
        </w:rPr>
      </w:pPr>
      <w:r w:rsidRPr="00B57900">
        <w:rPr>
          <w:rFonts w:ascii="Arial" w:hAnsi="Arial" w:cs="Arial"/>
          <w:b/>
          <w:bCs/>
          <w:sz w:val="24"/>
          <w:szCs w:val="24"/>
        </w:rPr>
        <w:t>Core Group Meeting</w:t>
      </w:r>
    </w:p>
    <w:p w14:paraId="6341B7C3" w14:textId="77777777" w:rsidR="0087064C" w:rsidRPr="00B57900" w:rsidRDefault="0087064C" w:rsidP="0087064C">
      <w:pPr>
        <w:pStyle w:val="NoSpacing"/>
        <w:jc w:val="center"/>
        <w:rPr>
          <w:rFonts w:ascii="Arial" w:hAnsi="Arial" w:cs="Arial"/>
          <w:b/>
          <w:bCs/>
          <w:sz w:val="24"/>
          <w:szCs w:val="24"/>
        </w:rPr>
      </w:pPr>
    </w:p>
    <w:p w14:paraId="396AA406" w14:textId="6FDBEDE1" w:rsidR="0087064C" w:rsidRPr="00B57900" w:rsidRDefault="0087064C" w:rsidP="0087064C">
      <w:pPr>
        <w:pStyle w:val="NoSpacing"/>
        <w:jc w:val="center"/>
        <w:rPr>
          <w:rFonts w:ascii="Arial" w:hAnsi="Arial" w:cs="Arial"/>
          <w:b/>
          <w:bCs/>
          <w:sz w:val="24"/>
          <w:szCs w:val="24"/>
        </w:rPr>
      </w:pPr>
      <w:r w:rsidRPr="00B57900">
        <w:rPr>
          <w:rFonts w:ascii="Arial" w:hAnsi="Arial" w:cs="Arial"/>
          <w:b/>
          <w:bCs/>
          <w:sz w:val="24"/>
          <w:szCs w:val="24"/>
        </w:rPr>
        <w:t>3</w:t>
      </w:r>
      <w:r w:rsidRPr="00B57900">
        <w:rPr>
          <w:rFonts w:ascii="Arial" w:hAnsi="Arial" w:cs="Arial"/>
          <w:b/>
          <w:bCs/>
          <w:sz w:val="24"/>
          <w:szCs w:val="24"/>
          <w:vertAlign w:val="superscript"/>
        </w:rPr>
        <w:t>rd</w:t>
      </w:r>
      <w:r w:rsidRPr="00B57900">
        <w:rPr>
          <w:rFonts w:ascii="Arial" w:hAnsi="Arial" w:cs="Arial"/>
          <w:b/>
          <w:bCs/>
          <w:sz w:val="24"/>
          <w:szCs w:val="24"/>
        </w:rPr>
        <w:t xml:space="preserve"> April 2025</w:t>
      </w:r>
    </w:p>
    <w:p w14:paraId="7B713C7A" w14:textId="77777777" w:rsidR="0087064C" w:rsidRPr="00B57900" w:rsidRDefault="0087064C" w:rsidP="0087064C">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681"/>
        <w:gridCol w:w="5335"/>
      </w:tblGrid>
      <w:tr w:rsidR="0087064C" w:rsidRPr="00B57900" w14:paraId="59C9FFDD" w14:textId="77777777" w:rsidTr="0087064C">
        <w:tc>
          <w:tcPr>
            <w:tcW w:w="3681" w:type="dxa"/>
          </w:tcPr>
          <w:p w14:paraId="08432327" w14:textId="2CAF2B70" w:rsidR="0087064C" w:rsidRPr="00B57900" w:rsidRDefault="0087064C" w:rsidP="0087064C">
            <w:pPr>
              <w:pStyle w:val="NoSpacing"/>
              <w:rPr>
                <w:rFonts w:ascii="Arial" w:hAnsi="Arial" w:cs="Arial"/>
                <w:sz w:val="24"/>
                <w:szCs w:val="24"/>
              </w:rPr>
            </w:pPr>
            <w:r w:rsidRPr="00B57900">
              <w:rPr>
                <w:rFonts w:ascii="Arial" w:hAnsi="Arial" w:cs="Arial"/>
                <w:sz w:val="24"/>
                <w:szCs w:val="24"/>
              </w:rPr>
              <w:t xml:space="preserve">Agenda Item No. </w:t>
            </w:r>
          </w:p>
        </w:tc>
        <w:tc>
          <w:tcPr>
            <w:tcW w:w="5335" w:type="dxa"/>
          </w:tcPr>
          <w:p w14:paraId="12A83370" w14:textId="77777777" w:rsidR="0087064C" w:rsidRPr="00B57900" w:rsidRDefault="0087064C" w:rsidP="0087064C">
            <w:pPr>
              <w:pStyle w:val="NoSpacing"/>
              <w:rPr>
                <w:rFonts w:ascii="Arial" w:hAnsi="Arial" w:cs="Arial"/>
                <w:sz w:val="24"/>
                <w:szCs w:val="24"/>
              </w:rPr>
            </w:pPr>
          </w:p>
        </w:tc>
      </w:tr>
      <w:tr w:rsidR="0087064C" w:rsidRPr="00B57900" w14:paraId="6C18527F" w14:textId="77777777" w:rsidTr="0087064C">
        <w:tc>
          <w:tcPr>
            <w:tcW w:w="3681" w:type="dxa"/>
          </w:tcPr>
          <w:p w14:paraId="3569B99F" w14:textId="36AE2616" w:rsidR="0087064C" w:rsidRPr="00B57900" w:rsidRDefault="0087064C" w:rsidP="0087064C">
            <w:pPr>
              <w:pStyle w:val="NoSpacing"/>
              <w:rPr>
                <w:rFonts w:ascii="Arial" w:hAnsi="Arial" w:cs="Arial"/>
                <w:sz w:val="24"/>
                <w:szCs w:val="24"/>
              </w:rPr>
            </w:pPr>
            <w:r w:rsidRPr="00B57900">
              <w:rPr>
                <w:rFonts w:ascii="Arial" w:hAnsi="Arial" w:cs="Arial"/>
                <w:sz w:val="24"/>
                <w:szCs w:val="24"/>
              </w:rPr>
              <w:t>Presenting Organisation</w:t>
            </w:r>
          </w:p>
        </w:tc>
        <w:tc>
          <w:tcPr>
            <w:tcW w:w="5335" w:type="dxa"/>
          </w:tcPr>
          <w:p w14:paraId="3402D7AA" w14:textId="53BD7520" w:rsidR="0087064C" w:rsidRPr="00B57900" w:rsidRDefault="0087064C" w:rsidP="0087064C">
            <w:pPr>
              <w:pStyle w:val="NoSpacing"/>
              <w:rPr>
                <w:rFonts w:ascii="Arial" w:hAnsi="Arial" w:cs="Arial"/>
                <w:sz w:val="24"/>
                <w:szCs w:val="24"/>
              </w:rPr>
            </w:pPr>
            <w:r w:rsidRPr="00B57900">
              <w:rPr>
                <w:rFonts w:ascii="Arial" w:hAnsi="Arial" w:cs="Arial"/>
                <w:sz w:val="24"/>
                <w:szCs w:val="24"/>
              </w:rPr>
              <w:t>Mansfield DC</w:t>
            </w:r>
          </w:p>
        </w:tc>
      </w:tr>
      <w:tr w:rsidR="0087064C" w:rsidRPr="00B57900" w14:paraId="263DD207" w14:textId="77777777" w:rsidTr="0087064C">
        <w:tc>
          <w:tcPr>
            <w:tcW w:w="3681" w:type="dxa"/>
          </w:tcPr>
          <w:p w14:paraId="5F13D189" w14:textId="352C0B8B" w:rsidR="0087064C" w:rsidRPr="00B57900" w:rsidRDefault="0087064C" w:rsidP="0087064C">
            <w:pPr>
              <w:pStyle w:val="NoSpacing"/>
              <w:rPr>
                <w:rFonts w:ascii="Arial" w:hAnsi="Arial" w:cs="Arial"/>
                <w:sz w:val="24"/>
                <w:szCs w:val="24"/>
              </w:rPr>
            </w:pPr>
            <w:r w:rsidRPr="00B57900">
              <w:rPr>
                <w:rFonts w:ascii="Arial" w:hAnsi="Arial" w:cs="Arial"/>
                <w:sz w:val="24"/>
                <w:szCs w:val="24"/>
              </w:rPr>
              <w:t xml:space="preserve">Report Author and Contact Details </w:t>
            </w:r>
          </w:p>
        </w:tc>
        <w:tc>
          <w:tcPr>
            <w:tcW w:w="5335" w:type="dxa"/>
          </w:tcPr>
          <w:p w14:paraId="0554A856" w14:textId="77777777" w:rsidR="0087064C" w:rsidRPr="00B57900" w:rsidRDefault="0087064C" w:rsidP="0087064C">
            <w:pPr>
              <w:pStyle w:val="NoSpacing"/>
              <w:rPr>
                <w:rFonts w:ascii="Arial" w:hAnsi="Arial" w:cs="Arial"/>
                <w:sz w:val="24"/>
                <w:szCs w:val="24"/>
              </w:rPr>
            </w:pPr>
            <w:r w:rsidRPr="00B57900">
              <w:rPr>
                <w:rFonts w:ascii="Arial" w:hAnsi="Arial" w:cs="Arial"/>
                <w:sz w:val="24"/>
                <w:szCs w:val="24"/>
              </w:rPr>
              <w:t>Geoff George, Regeneration Manager</w:t>
            </w:r>
          </w:p>
          <w:p w14:paraId="433259D1" w14:textId="5131F83F" w:rsidR="0087064C" w:rsidRPr="00B57900" w:rsidRDefault="0087064C" w:rsidP="0087064C">
            <w:pPr>
              <w:pStyle w:val="NoSpacing"/>
              <w:rPr>
                <w:rFonts w:ascii="Arial" w:hAnsi="Arial" w:cs="Arial"/>
                <w:sz w:val="24"/>
                <w:szCs w:val="24"/>
              </w:rPr>
            </w:pPr>
            <w:hyperlink r:id="rId7" w:history="1">
              <w:r w:rsidRPr="00B57900">
                <w:rPr>
                  <w:rStyle w:val="Hyperlink"/>
                  <w:rFonts w:ascii="Arial" w:hAnsi="Arial" w:cs="Arial"/>
                  <w:sz w:val="24"/>
                  <w:szCs w:val="24"/>
                </w:rPr>
                <w:t>ggeorge@mansfield.gov.uk</w:t>
              </w:r>
            </w:hyperlink>
          </w:p>
          <w:p w14:paraId="165A6E15" w14:textId="5445A32A" w:rsidR="0087064C" w:rsidRPr="00B57900" w:rsidRDefault="0087064C" w:rsidP="0087064C">
            <w:pPr>
              <w:pStyle w:val="NoSpacing"/>
              <w:rPr>
                <w:rFonts w:ascii="Arial" w:hAnsi="Arial" w:cs="Arial"/>
                <w:sz w:val="24"/>
                <w:szCs w:val="24"/>
              </w:rPr>
            </w:pPr>
            <w:r w:rsidRPr="00B57900">
              <w:rPr>
                <w:rFonts w:ascii="Arial" w:hAnsi="Arial" w:cs="Arial"/>
                <w:sz w:val="24"/>
                <w:szCs w:val="24"/>
              </w:rPr>
              <w:t xml:space="preserve">(01623) </w:t>
            </w:r>
            <w:r w:rsidR="002B3376">
              <w:rPr>
                <w:rFonts w:ascii="Arial" w:hAnsi="Arial" w:cs="Arial"/>
                <w:sz w:val="24"/>
                <w:szCs w:val="24"/>
              </w:rPr>
              <w:t>463 283</w:t>
            </w:r>
          </w:p>
        </w:tc>
      </w:tr>
    </w:tbl>
    <w:p w14:paraId="6076CC0D" w14:textId="77777777" w:rsidR="0087064C" w:rsidRPr="00B57900" w:rsidRDefault="0087064C" w:rsidP="0087064C">
      <w:pPr>
        <w:pStyle w:val="NoSpacing"/>
        <w:rPr>
          <w:rFonts w:ascii="Arial" w:hAnsi="Arial" w:cs="Arial"/>
          <w:sz w:val="24"/>
          <w:szCs w:val="24"/>
        </w:rPr>
      </w:pPr>
    </w:p>
    <w:p w14:paraId="14F516A2" w14:textId="10F63184" w:rsidR="0087064C" w:rsidRPr="0080301A" w:rsidRDefault="00C177AE" w:rsidP="0080301A">
      <w:pPr>
        <w:pStyle w:val="NoSpacing"/>
        <w:ind w:left="720"/>
        <w:jc w:val="center"/>
        <w:rPr>
          <w:rFonts w:ascii="Arial" w:hAnsi="Arial" w:cs="Arial"/>
          <w:b/>
          <w:bCs/>
          <w:sz w:val="24"/>
          <w:szCs w:val="24"/>
          <w:u w:val="single"/>
        </w:rPr>
      </w:pPr>
      <w:r w:rsidRPr="0080301A">
        <w:rPr>
          <w:rFonts w:ascii="Arial" w:hAnsi="Arial" w:cs="Arial"/>
          <w:b/>
          <w:bCs/>
          <w:sz w:val="24"/>
          <w:szCs w:val="24"/>
          <w:u w:val="single"/>
        </w:rPr>
        <w:t xml:space="preserve">Mansfield </w:t>
      </w:r>
      <w:r w:rsidR="00F87049" w:rsidRPr="0080301A">
        <w:rPr>
          <w:rFonts w:ascii="Arial" w:hAnsi="Arial" w:cs="Arial"/>
          <w:b/>
          <w:bCs/>
          <w:sz w:val="24"/>
          <w:szCs w:val="24"/>
          <w:u w:val="single"/>
        </w:rPr>
        <w:t xml:space="preserve">Local </w:t>
      </w:r>
      <w:r w:rsidR="00B826B9" w:rsidRPr="0080301A">
        <w:rPr>
          <w:rFonts w:ascii="Arial" w:hAnsi="Arial" w:cs="Arial"/>
          <w:b/>
          <w:bCs/>
          <w:sz w:val="24"/>
          <w:szCs w:val="24"/>
          <w:u w:val="single"/>
        </w:rPr>
        <w:t xml:space="preserve">Funding </w:t>
      </w:r>
      <w:r w:rsidR="00F87049" w:rsidRPr="0080301A">
        <w:rPr>
          <w:rFonts w:ascii="Arial" w:hAnsi="Arial" w:cs="Arial"/>
          <w:b/>
          <w:bCs/>
          <w:sz w:val="24"/>
          <w:szCs w:val="24"/>
          <w:u w:val="single"/>
        </w:rPr>
        <w:t>Assurance</w:t>
      </w:r>
      <w:r w:rsidR="00B826B9" w:rsidRPr="0080301A">
        <w:rPr>
          <w:rFonts w:ascii="Arial" w:hAnsi="Arial" w:cs="Arial"/>
          <w:b/>
          <w:bCs/>
          <w:sz w:val="24"/>
          <w:szCs w:val="24"/>
          <w:u w:val="single"/>
        </w:rPr>
        <w:t xml:space="preserve"> Deep Dive</w:t>
      </w:r>
    </w:p>
    <w:p w14:paraId="3A974FE7" w14:textId="77777777" w:rsidR="00B826B9" w:rsidRPr="00B57900" w:rsidRDefault="00B826B9" w:rsidP="0087064C">
      <w:pPr>
        <w:pStyle w:val="NoSpacing"/>
        <w:rPr>
          <w:rFonts w:ascii="Arial" w:hAnsi="Arial" w:cs="Arial"/>
          <w:sz w:val="24"/>
          <w:szCs w:val="24"/>
        </w:rPr>
      </w:pPr>
    </w:p>
    <w:p w14:paraId="2D746EAF" w14:textId="06CEB701" w:rsidR="00B826B9" w:rsidRPr="00EB22E6" w:rsidRDefault="0080301A" w:rsidP="0087064C">
      <w:pPr>
        <w:pStyle w:val="NoSpacing"/>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00CB1E97" w:rsidRPr="00EB22E6">
        <w:rPr>
          <w:rFonts w:ascii="Arial" w:hAnsi="Arial" w:cs="Arial"/>
          <w:b/>
          <w:bCs/>
          <w:sz w:val="24"/>
          <w:szCs w:val="24"/>
        </w:rPr>
        <w:t>Purpose of Report</w:t>
      </w:r>
    </w:p>
    <w:p w14:paraId="6FFA14B4" w14:textId="77777777" w:rsidR="00CB1E97" w:rsidRDefault="00CB1E97" w:rsidP="0087064C">
      <w:pPr>
        <w:pStyle w:val="NoSpacing"/>
        <w:rPr>
          <w:rFonts w:ascii="Arial" w:hAnsi="Arial" w:cs="Arial"/>
          <w:sz w:val="24"/>
          <w:szCs w:val="24"/>
        </w:rPr>
      </w:pPr>
    </w:p>
    <w:p w14:paraId="5AF9F8CC" w14:textId="60888AEC" w:rsidR="00CB1E97" w:rsidRDefault="0080301A" w:rsidP="0080301A">
      <w:pPr>
        <w:pStyle w:val="NoSpacing"/>
        <w:ind w:left="720" w:hanging="720"/>
        <w:rPr>
          <w:rFonts w:ascii="Arial" w:hAnsi="Arial" w:cs="Arial"/>
          <w:sz w:val="24"/>
          <w:szCs w:val="24"/>
        </w:rPr>
      </w:pPr>
      <w:r>
        <w:rPr>
          <w:rFonts w:ascii="Arial" w:hAnsi="Arial" w:cs="Arial"/>
          <w:sz w:val="24"/>
          <w:szCs w:val="24"/>
        </w:rPr>
        <w:t>1.2</w:t>
      </w:r>
      <w:r>
        <w:rPr>
          <w:rFonts w:ascii="Arial" w:hAnsi="Arial" w:cs="Arial"/>
          <w:sz w:val="24"/>
          <w:szCs w:val="24"/>
        </w:rPr>
        <w:tab/>
      </w:r>
      <w:r w:rsidR="00E76334">
        <w:rPr>
          <w:rFonts w:ascii="Arial" w:hAnsi="Arial" w:cs="Arial"/>
          <w:sz w:val="24"/>
          <w:szCs w:val="24"/>
        </w:rPr>
        <w:t xml:space="preserve">To </w:t>
      </w:r>
      <w:r w:rsidR="007A10CB">
        <w:rPr>
          <w:rFonts w:ascii="Arial" w:hAnsi="Arial" w:cs="Arial"/>
          <w:sz w:val="24"/>
          <w:szCs w:val="24"/>
        </w:rPr>
        <w:t>advise</w:t>
      </w:r>
      <w:r w:rsidR="00E76334">
        <w:rPr>
          <w:rFonts w:ascii="Arial" w:hAnsi="Arial" w:cs="Arial"/>
          <w:sz w:val="24"/>
          <w:szCs w:val="24"/>
        </w:rPr>
        <w:t xml:space="preserve"> the Board on the implications and expectations arising </w:t>
      </w:r>
      <w:proofErr w:type="gramStart"/>
      <w:r w:rsidR="00E76334">
        <w:rPr>
          <w:rFonts w:ascii="Arial" w:hAnsi="Arial" w:cs="Arial"/>
          <w:sz w:val="24"/>
          <w:szCs w:val="24"/>
        </w:rPr>
        <w:t>as a consequence of</w:t>
      </w:r>
      <w:proofErr w:type="gramEnd"/>
      <w:r w:rsidR="00E76334">
        <w:rPr>
          <w:rFonts w:ascii="Arial" w:hAnsi="Arial" w:cs="Arial"/>
          <w:sz w:val="24"/>
          <w:szCs w:val="24"/>
        </w:rPr>
        <w:t xml:space="preserve"> a</w:t>
      </w:r>
      <w:r w:rsidR="009F2D93" w:rsidRPr="009F2D93">
        <w:rPr>
          <w:rFonts w:ascii="Arial" w:hAnsi="Arial" w:cs="Arial"/>
          <w:sz w:val="24"/>
          <w:szCs w:val="24"/>
        </w:rPr>
        <w:t xml:space="preserve"> </w:t>
      </w:r>
      <w:r w:rsidR="009F2D93" w:rsidRPr="00FF57D6">
        <w:rPr>
          <w:rFonts w:ascii="Arial" w:hAnsi="Arial" w:cs="Arial"/>
          <w:sz w:val="24"/>
          <w:szCs w:val="24"/>
        </w:rPr>
        <w:t>Ministry of Housing, Communities &amp; Local Government</w:t>
      </w:r>
      <w:r w:rsidR="00E76334">
        <w:rPr>
          <w:rFonts w:ascii="Arial" w:hAnsi="Arial" w:cs="Arial"/>
          <w:sz w:val="24"/>
          <w:szCs w:val="24"/>
        </w:rPr>
        <w:t xml:space="preserve"> </w:t>
      </w:r>
      <w:r w:rsidR="009F2D93">
        <w:rPr>
          <w:rFonts w:ascii="Arial" w:hAnsi="Arial" w:cs="Arial"/>
          <w:sz w:val="24"/>
          <w:szCs w:val="24"/>
        </w:rPr>
        <w:t>(</w:t>
      </w:r>
      <w:r w:rsidR="00E76334">
        <w:rPr>
          <w:rFonts w:ascii="Arial" w:hAnsi="Arial" w:cs="Arial"/>
          <w:sz w:val="24"/>
          <w:szCs w:val="24"/>
        </w:rPr>
        <w:t>MHCLG</w:t>
      </w:r>
      <w:r w:rsidR="009F2D93">
        <w:rPr>
          <w:rFonts w:ascii="Arial" w:hAnsi="Arial" w:cs="Arial"/>
          <w:sz w:val="24"/>
          <w:szCs w:val="24"/>
        </w:rPr>
        <w:t>)</w:t>
      </w:r>
      <w:r w:rsidR="00E76334">
        <w:rPr>
          <w:rFonts w:ascii="Arial" w:hAnsi="Arial" w:cs="Arial"/>
          <w:sz w:val="24"/>
          <w:szCs w:val="24"/>
        </w:rPr>
        <w:t xml:space="preserve"> </w:t>
      </w:r>
      <w:r w:rsidR="00EB22E6">
        <w:rPr>
          <w:rFonts w:ascii="Arial" w:hAnsi="Arial" w:cs="Arial"/>
          <w:sz w:val="24"/>
          <w:szCs w:val="24"/>
        </w:rPr>
        <w:t>Local Funding Assurance Deep Dive.</w:t>
      </w:r>
    </w:p>
    <w:p w14:paraId="4E6B55E7" w14:textId="77777777" w:rsidR="00EB22E6" w:rsidRDefault="00EB22E6" w:rsidP="0087064C">
      <w:pPr>
        <w:pStyle w:val="NoSpacing"/>
        <w:rPr>
          <w:rFonts w:ascii="Arial" w:hAnsi="Arial" w:cs="Arial"/>
          <w:sz w:val="24"/>
          <w:szCs w:val="24"/>
        </w:rPr>
      </w:pPr>
    </w:p>
    <w:p w14:paraId="40D40AC3" w14:textId="1742F261" w:rsidR="00EB22E6" w:rsidRPr="00A35986" w:rsidRDefault="00A35986" w:rsidP="0080301A">
      <w:pPr>
        <w:pStyle w:val="NoSpacing"/>
        <w:numPr>
          <w:ilvl w:val="0"/>
          <w:numId w:val="8"/>
        </w:numPr>
        <w:ind w:hanging="720"/>
        <w:rPr>
          <w:rFonts w:ascii="Arial" w:hAnsi="Arial" w:cs="Arial"/>
          <w:b/>
          <w:bCs/>
          <w:sz w:val="24"/>
          <w:szCs w:val="24"/>
        </w:rPr>
      </w:pPr>
      <w:r w:rsidRPr="00A35986">
        <w:rPr>
          <w:rFonts w:ascii="Arial" w:hAnsi="Arial" w:cs="Arial"/>
          <w:b/>
          <w:bCs/>
          <w:sz w:val="24"/>
          <w:szCs w:val="24"/>
        </w:rPr>
        <w:t xml:space="preserve">Background </w:t>
      </w:r>
    </w:p>
    <w:p w14:paraId="2BE41104" w14:textId="77777777" w:rsidR="00A35986" w:rsidRDefault="00A35986" w:rsidP="0087064C">
      <w:pPr>
        <w:pStyle w:val="NoSpacing"/>
        <w:rPr>
          <w:rFonts w:ascii="Arial" w:hAnsi="Arial" w:cs="Arial"/>
          <w:sz w:val="24"/>
          <w:szCs w:val="24"/>
        </w:rPr>
      </w:pPr>
    </w:p>
    <w:p w14:paraId="6CE46A63" w14:textId="2DB9956C" w:rsidR="00FF57D6" w:rsidRDefault="00951A35" w:rsidP="0080301A">
      <w:pPr>
        <w:pStyle w:val="NoSpacing"/>
        <w:numPr>
          <w:ilvl w:val="1"/>
          <w:numId w:val="8"/>
        </w:numPr>
        <w:ind w:hanging="720"/>
        <w:rPr>
          <w:rFonts w:ascii="Arial" w:hAnsi="Arial" w:cs="Arial"/>
          <w:sz w:val="24"/>
          <w:szCs w:val="24"/>
        </w:rPr>
      </w:pPr>
      <w:r w:rsidRPr="009F2D93">
        <w:rPr>
          <w:rFonts w:ascii="Arial" w:hAnsi="Arial" w:cs="Arial"/>
          <w:sz w:val="24"/>
          <w:szCs w:val="24"/>
        </w:rPr>
        <w:t xml:space="preserve">Over the past few months, </w:t>
      </w:r>
      <w:r w:rsidR="00FF57D6" w:rsidRPr="00FF57D6">
        <w:rPr>
          <w:rFonts w:ascii="Arial" w:hAnsi="Arial" w:cs="Arial"/>
          <w:sz w:val="24"/>
          <w:szCs w:val="24"/>
        </w:rPr>
        <w:t>Mansfield District Council</w:t>
      </w:r>
      <w:r w:rsidR="00FF57D6" w:rsidRPr="00FF57D6">
        <w:rPr>
          <w:rFonts w:ascii="Arial" w:hAnsi="Arial" w:cs="Arial"/>
          <w:b/>
          <w:bCs/>
          <w:sz w:val="24"/>
          <w:szCs w:val="24"/>
        </w:rPr>
        <w:t xml:space="preserve"> </w:t>
      </w:r>
      <w:r w:rsidR="00FF57D6" w:rsidRPr="00FF57D6">
        <w:rPr>
          <w:rFonts w:ascii="Arial" w:hAnsi="Arial" w:cs="Arial"/>
          <w:sz w:val="24"/>
          <w:szCs w:val="24"/>
        </w:rPr>
        <w:t xml:space="preserve">has been </w:t>
      </w:r>
      <w:r w:rsidR="00FF57D6" w:rsidRPr="009F2D93">
        <w:rPr>
          <w:rFonts w:ascii="Arial" w:hAnsi="Arial" w:cs="Arial"/>
          <w:sz w:val="24"/>
          <w:szCs w:val="24"/>
        </w:rPr>
        <w:t xml:space="preserve">the subject of a </w:t>
      </w:r>
      <w:r w:rsidR="00FF57D6" w:rsidRPr="00FF57D6">
        <w:rPr>
          <w:rFonts w:ascii="Arial" w:hAnsi="Arial" w:cs="Arial"/>
          <w:sz w:val="24"/>
          <w:szCs w:val="24"/>
        </w:rPr>
        <w:t>deep dive as part of the assurance process outlined in the </w:t>
      </w:r>
      <w:hyperlink r:id="rId8" w:history="1">
        <w:r w:rsidR="00FF57D6" w:rsidRPr="00FF57D6">
          <w:rPr>
            <w:rStyle w:val="Hyperlink"/>
            <w:rFonts w:ascii="Arial" w:hAnsi="Arial" w:cs="Arial"/>
            <w:sz w:val="24"/>
            <w:szCs w:val="24"/>
          </w:rPr>
          <w:t>Levelling Up Funds Local Authority Assurance Framework</w:t>
        </w:r>
      </w:hyperlink>
      <w:r w:rsidR="00FF57D6" w:rsidRPr="00FF57D6">
        <w:rPr>
          <w:rFonts w:ascii="Arial" w:hAnsi="Arial" w:cs="Arial"/>
          <w:sz w:val="24"/>
          <w:szCs w:val="24"/>
        </w:rPr>
        <w:t xml:space="preserve"> and the updated guidance for local authority recipients of </w:t>
      </w:r>
      <w:r w:rsidR="00FF57D6" w:rsidRPr="009F2D93">
        <w:rPr>
          <w:rFonts w:ascii="Arial" w:hAnsi="Arial" w:cs="Arial"/>
          <w:sz w:val="24"/>
          <w:szCs w:val="24"/>
        </w:rPr>
        <w:t xml:space="preserve">MHCLG sourced </w:t>
      </w:r>
      <w:r w:rsidR="009F2D93" w:rsidRPr="009F2D93">
        <w:rPr>
          <w:rFonts w:ascii="Arial" w:hAnsi="Arial" w:cs="Arial"/>
          <w:sz w:val="24"/>
          <w:szCs w:val="24"/>
        </w:rPr>
        <w:t>external funding</w:t>
      </w:r>
      <w:r w:rsidR="009F2D93">
        <w:rPr>
          <w:rFonts w:ascii="Arial" w:hAnsi="Arial" w:cs="Arial"/>
          <w:sz w:val="24"/>
          <w:szCs w:val="24"/>
        </w:rPr>
        <w:t>.</w:t>
      </w:r>
    </w:p>
    <w:p w14:paraId="37B04907" w14:textId="77777777" w:rsidR="009F2D93" w:rsidRDefault="009F2D93" w:rsidP="009F2D93">
      <w:pPr>
        <w:pStyle w:val="NoSpacing"/>
        <w:ind w:left="360"/>
        <w:rPr>
          <w:rFonts w:ascii="Arial" w:hAnsi="Arial" w:cs="Arial"/>
          <w:sz w:val="24"/>
          <w:szCs w:val="24"/>
        </w:rPr>
      </w:pPr>
    </w:p>
    <w:p w14:paraId="6D823C30" w14:textId="51DA8BC1" w:rsidR="00825053" w:rsidRPr="00183FE5" w:rsidRDefault="00FF57D6" w:rsidP="0080301A">
      <w:pPr>
        <w:pStyle w:val="NoSpacing"/>
        <w:numPr>
          <w:ilvl w:val="1"/>
          <w:numId w:val="8"/>
        </w:numPr>
        <w:ind w:hanging="720"/>
        <w:rPr>
          <w:rFonts w:ascii="Arial" w:hAnsi="Arial" w:cs="Arial"/>
          <w:sz w:val="24"/>
          <w:szCs w:val="24"/>
        </w:rPr>
      </w:pPr>
      <w:r w:rsidRPr="00FF57D6">
        <w:rPr>
          <w:rFonts w:ascii="Arial" w:hAnsi="Arial" w:cs="Arial"/>
          <w:sz w:val="24"/>
          <w:szCs w:val="24"/>
        </w:rPr>
        <w:t>The purpose of a deep dive is to enable the MHCLG</w:t>
      </w:r>
      <w:r w:rsidR="006D1712">
        <w:rPr>
          <w:rFonts w:ascii="Arial" w:hAnsi="Arial" w:cs="Arial"/>
          <w:sz w:val="24"/>
          <w:szCs w:val="24"/>
        </w:rPr>
        <w:t xml:space="preserve"> </w:t>
      </w:r>
      <w:r w:rsidRPr="00FF57D6">
        <w:rPr>
          <w:rFonts w:ascii="Arial" w:hAnsi="Arial" w:cs="Arial"/>
          <w:sz w:val="24"/>
          <w:szCs w:val="24"/>
        </w:rPr>
        <w:t xml:space="preserve">Assurance Team to review the governance and counter fraud, procurement, and subsidy control procedures associated with this funding. </w:t>
      </w:r>
      <w:r w:rsidR="006D1712" w:rsidRPr="00685F5B">
        <w:rPr>
          <w:rFonts w:ascii="Arial" w:hAnsi="Arial" w:cs="Arial"/>
          <w:sz w:val="24"/>
          <w:szCs w:val="24"/>
        </w:rPr>
        <w:t>F</w:t>
      </w:r>
      <w:r w:rsidRPr="00FF57D6">
        <w:rPr>
          <w:rFonts w:ascii="Arial" w:hAnsi="Arial" w:cs="Arial"/>
          <w:sz w:val="24"/>
          <w:szCs w:val="24"/>
        </w:rPr>
        <w:t xml:space="preserve">ull co-operation </w:t>
      </w:r>
      <w:r w:rsidR="006D1712" w:rsidRPr="00685F5B">
        <w:rPr>
          <w:rFonts w:ascii="Arial" w:hAnsi="Arial" w:cs="Arial"/>
          <w:sz w:val="24"/>
          <w:szCs w:val="24"/>
        </w:rPr>
        <w:t xml:space="preserve">was offered </w:t>
      </w:r>
      <w:r w:rsidRPr="00FF57D6">
        <w:rPr>
          <w:rFonts w:ascii="Arial" w:hAnsi="Arial" w:cs="Arial"/>
          <w:sz w:val="24"/>
          <w:szCs w:val="24"/>
        </w:rPr>
        <w:t xml:space="preserve">to the MHCLG Assurance Team, </w:t>
      </w:r>
      <w:r w:rsidR="001F13EB">
        <w:rPr>
          <w:rFonts w:ascii="Arial" w:hAnsi="Arial" w:cs="Arial"/>
          <w:sz w:val="24"/>
          <w:szCs w:val="24"/>
        </w:rPr>
        <w:t xml:space="preserve">with </w:t>
      </w:r>
      <w:r w:rsidR="001F13EB" w:rsidRPr="00FF57D6">
        <w:rPr>
          <w:rFonts w:ascii="Arial" w:hAnsi="Arial" w:cs="Arial"/>
          <w:sz w:val="24"/>
          <w:szCs w:val="24"/>
        </w:rPr>
        <w:t>a focused discussion</w:t>
      </w:r>
      <w:r w:rsidR="001F13EB">
        <w:rPr>
          <w:rFonts w:ascii="Arial" w:hAnsi="Arial" w:cs="Arial"/>
          <w:sz w:val="24"/>
          <w:szCs w:val="24"/>
        </w:rPr>
        <w:t>s</w:t>
      </w:r>
      <w:r w:rsidR="001F13EB" w:rsidRPr="00FF57D6">
        <w:rPr>
          <w:rFonts w:ascii="Arial" w:hAnsi="Arial" w:cs="Arial"/>
          <w:sz w:val="24"/>
          <w:szCs w:val="24"/>
        </w:rPr>
        <w:t xml:space="preserve"> </w:t>
      </w:r>
      <w:r w:rsidR="001F13EB">
        <w:rPr>
          <w:rFonts w:ascii="Arial" w:hAnsi="Arial" w:cs="Arial"/>
          <w:sz w:val="24"/>
          <w:szCs w:val="24"/>
        </w:rPr>
        <w:t xml:space="preserve">and input </w:t>
      </w:r>
      <w:r w:rsidR="001F13EB" w:rsidRPr="00FF57D6">
        <w:rPr>
          <w:rFonts w:ascii="Arial" w:hAnsi="Arial" w:cs="Arial"/>
          <w:sz w:val="24"/>
          <w:szCs w:val="24"/>
        </w:rPr>
        <w:t xml:space="preserve">with representatives from the authority responsible for the fund(s) and financial </w:t>
      </w:r>
      <w:r w:rsidR="00440023" w:rsidRPr="00FF57D6">
        <w:rPr>
          <w:rFonts w:ascii="Arial" w:hAnsi="Arial" w:cs="Arial"/>
          <w:sz w:val="24"/>
          <w:szCs w:val="24"/>
        </w:rPr>
        <w:t>oversight</w:t>
      </w:r>
      <w:r w:rsidR="00440023">
        <w:rPr>
          <w:rFonts w:ascii="Arial" w:hAnsi="Arial" w:cs="Arial"/>
          <w:sz w:val="24"/>
          <w:szCs w:val="24"/>
        </w:rPr>
        <w:t>, l</w:t>
      </w:r>
      <w:r w:rsidR="00440023" w:rsidRPr="00685F5B">
        <w:rPr>
          <w:rFonts w:ascii="Arial" w:hAnsi="Arial" w:cs="Arial"/>
          <w:sz w:val="24"/>
          <w:szCs w:val="24"/>
        </w:rPr>
        <w:t>ed</w:t>
      </w:r>
      <w:r w:rsidR="00D844DB" w:rsidRPr="00685F5B">
        <w:rPr>
          <w:rFonts w:ascii="Arial" w:hAnsi="Arial" w:cs="Arial"/>
          <w:sz w:val="24"/>
          <w:szCs w:val="24"/>
        </w:rPr>
        <w:t xml:space="preserve"> by the Regeneration Manager and the Assistant</w:t>
      </w:r>
      <w:r w:rsidR="00685F5B" w:rsidRPr="00685F5B">
        <w:rPr>
          <w:rFonts w:ascii="Arial" w:hAnsi="Arial" w:cs="Arial"/>
          <w:sz w:val="24"/>
          <w:szCs w:val="24"/>
        </w:rPr>
        <w:t xml:space="preserve"> Director for Finance &amp; Digital and Section 151 Officer. </w:t>
      </w:r>
      <w:r w:rsidR="0054099F">
        <w:rPr>
          <w:rFonts w:ascii="Arial" w:hAnsi="Arial" w:cs="Arial"/>
          <w:sz w:val="24"/>
          <w:szCs w:val="24"/>
        </w:rPr>
        <w:t>The d</w:t>
      </w:r>
      <w:r w:rsidRPr="00FF57D6">
        <w:rPr>
          <w:rFonts w:ascii="Arial" w:hAnsi="Arial" w:cs="Arial"/>
          <w:sz w:val="24"/>
          <w:szCs w:val="24"/>
        </w:rPr>
        <w:t>eep dive</w:t>
      </w:r>
      <w:r w:rsidR="0054099F">
        <w:rPr>
          <w:rFonts w:ascii="Arial" w:hAnsi="Arial" w:cs="Arial"/>
          <w:sz w:val="24"/>
          <w:szCs w:val="24"/>
        </w:rPr>
        <w:t xml:space="preserve"> looked</w:t>
      </w:r>
      <w:r w:rsidRPr="00FF57D6">
        <w:rPr>
          <w:rFonts w:ascii="Arial" w:hAnsi="Arial" w:cs="Arial"/>
          <w:sz w:val="24"/>
          <w:szCs w:val="24"/>
        </w:rPr>
        <w:t xml:space="preserve"> across the breadth of fund(s) in a single assurance </w:t>
      </w:r>
      <w:r w:rsidR="001F13EB">
        <w:rPr>
          <w:rFonts w:ascii="Arial" w:hAnsi="Arial" w:cs="Arial"/>
          <w:sz w:val="24"/>
          <w:szCs w:val="24"/>
        </w:rPr>
        <w:t>review</w:t>
      </w:r>
      <w:r w:rsidR="00440023">
        <w:rPr>
          <w:rFonts w:ascii="Arial" w:hAnsi="Arial" w:cs="Arial"/>
          <w:sz w:val="24"/>
          <w:szCs w:val="24"/>
        </w:rPr>
        <w:t>.</w:t>
      </w:r>
      <w:r w:rsidR="00183FE5">
        <w:rPr>
          <w:rFonts w:ascii="Arial" w:hAnsi="Arial" w:cs="Arial"/>
          <w:sz w:val="24"/>
          <w:szCs w:val="24"/>
        </w:rPr>
        <w:t xml:space="preserve">  </w:t>
      </w:r>
    </w:p>
    <w:p w14:paraId="3B9156BB" w14:textId="77777777" w:rsidR="0080301A" w:rsidRDefault="0080301A" w:rsidP="00A336ED">
      <w:pPr>
        <w:rPr>
          <w:rFonts w:ascii="Arial" w:hAnsi="Arial" w:cs="Arial"/>
          <w:b/>
          <w:bCs/>
          <w:sz w:val="24"/>
          <w:szCs w:val="24"/>
        </w:rPr>
      </w:pPr>
    </w:p>
    <w:p w14:paraId="6AB461D9" w14:textId="4A35AFA2" w:rsidR="00697BFA" w:rsidRPr="0080301A" w:rsidRDefault="00A336ED" w:rsidP="0080301A">
      <w:pPr>
        <w:pStyle w:val="ListParagraph"/>
        <w:numPr>
          <w:ilvl w:val="0"/>
          <w:numId w:val="8"/>
        </w:numPr>
        <w:ind w:hanging="720"/>
        <w:rPr>
          <w:rFonts w:ascii="Arial" w:hAnsi="Arial" w:cs="Arial"/>
          <w:b/>
          <w:bCs/>
          <w:sz w:val="24"/>
          <w:szCs w:val="24"/>
        </w:rPr>
      </w:pPr>
      <w:r w:rsidRPr="0080301A">
        <w:rPr>
          <w:rFonts w:ascii="Arial" w:hAnsi="Arial" w:cs="Arial"/>
          <w:b/>
          <w:bCs/>
          <w:sz w:val="24"/>
          <w:szCs w:val="24"/>
        </w:rPr>
        <w:t>Considerations</w:t>
      </w:r>
    </w:p>
    <w:p w14:paraId="78AB2C03" w14:textId="69B4B457" w:rsidR="00697BFA" w:rsidRDefault="0080301A" w:rsidP="0080301A">
      <w:pPr>
        <w:pStyle w:val="NoSpacing"/>
        <w:ind w:left="720" w:hanging="720"/>
        <w:rPr>
          <w:rFonts w:ascii="Arial" w:hAnsi="Arial" w:cs="Arial"/>
          <w:sz w:val="24"/>
          <w:szCs w:val="24"/>
        </w:rPr>
      </w:pPr>
      <w:r>
        <w:rPr>
          <w:rFonts w:ascii="Arial" w:hAnsi="Arial" w:cs="Arial"/>
          <w:sz w:val="24"/>
          <w:szCs w:val="24"/>
        </w:rPr>
        <w:t>3.1</w:t>
      </w:r>
      <w:r>
        <w:rPr>
          <w:rFonts w:ascii="Arial" w:hAnsi="Arial" w:cs="Arial"/>
          <w:sz w:val="24"/>
          <w:szCs w:val="24"/>
        </w:rPr>
        <w:tab/>
      </w:r>
      <w:r w:rsidR="001B58E2" w:rsidRPr="00183FE5">
        <w:rPr>
          <w:rFonts w:ascii="Arial" w:hAnsi="Arial" w:cs="Arial"/>
          <w:sz w:val="24"/>
          <w:szCs w:val="24"/>
        </w:rPr>
        <w:t>Specific guidance covers the extent of the process for local authorities in receipt of growth funds</w:t>
      </w:r>
      <w:r w:rsidR="006F458F">
        <w:rPr>
          <w:rFonts w:ascii="Arial" w:hAnsi="Arial" w:cs="Arial"/>
          <w:sz w:val="24"/>
          <w:szCs w:val="24"/>
        </w:rPr>
        <w:t xml:space="preserve"> and required completion of an extensive workbook and </w:t>
      </w:r>
      <w:r w:rsidR="000E127A">
        <w:rPr>
          <w:rFonts w:ascii="Arial" w:hAnsi="Arial" w:cs="Arial"/>
          <w:sz w:val="24"/>
          <w:szCs w:val="24"/>
        </w:rPr>
        <w:t>the exchange of information and evidence on strategic and specific project issues</w:t>
      </w:r>
      <w:r w:rsidR="00085401">
        <w:rPr>
          <w:rFonts w:ascii="Arial" w:hAnsi="Arial" w:cs="Arial"/>
          <w:sz w:val="24"/>
          <w:szCs w:val="24"/>
        </w:rPr>
        <w:t>, including:</w:t>
      </w:r>
    </w:p>
    <w:p w14:paraId="4C4B1CED" w14:textId="77777777" w:rsidR="00085401" w:rsidRDefault="00085401" w:rsidP="00085401">
      <w:pPr>
        <w:pStyle w:val="NoSpacing"/>
        <w:rPr>
          <w:rFonts w:ascii="Arial" w:hAnsi="Arial" w:cs="Arial"/>
          <w:sz w:val="24"/>
          <w:szCs w:val="24"/>
        </w:rPr>
      </w:pPr>
    </w:p>
    <w:p w14:paraId="51AAD185" w14:textId="77777777" w:rsidR="00085401" w:rsidRDefault="00085401" w:rsidP="00085401">
      <w:pPr>
        <w:pStyle w:val="NoSpacing"/>
        <w:numPr>
          <w:ilvl w:val="0"/>
          <w:numId w:val="2"/>
        </w:numPr>
        <w:ind w:left="851" w:hanging="425"/>
        <w:rPr>
          <w:rFonts w:ascii="Arial" w:hAnsi="Arial" w:cs="Arial"/>
          <w:sz w:val="24"/>
          <w:szCs w:val="24"/>
        </w:rPr>
      </w:pPr>
      <w:r w:rsidRPr="00085401">
        <w:rPr>
          <w:rFonts w:ascii="Arial" w:hAnsi="Arial" w:cs="Arial"/>
          <w:sz w:val="24"/>
          <w:szCs w:val="24"/>
        </w:rPr>
        <w:t xml:space="preserve">Desk based checks completed by the Assurance Team covering documents and </w:t>
      </w:r>
      <w:r>
        <w:rPr>
          <w:rFonts w:ascii="Arial" w:hAnsi="Arial" w:cs="Arial"/>
          <w:sz w:val="24"/>
          <w:szCs w:val="24"/>
        </w:rPr>
        <w:t xml:space="preserve">the </w:t>
      </w:r>
      <w:r w:rsidRPr="00085401">
        <w:rPr>
          <w:rFonts w:ascii="Arial" w:hAnsi="Arial" w:cs="Arial"/>
          <w:sz w:val="24"/>
          <w:szCs w:val="24"/>
        </w:rPr>
        <w:t>workbook</w:t>
      </w:r>
      <w:r>
        <w:rPr>
          <w:rFonts w:ascii="Arial" w:hAnsi="Arial" w:cs="Arial"/>
          <w:sz w:val="24"/>
          <w:szCs w:val="24"/>
        </w:rPr>
        <w:t xml:space="preserve"> and i</w:t>
      </w:r>
      <w:r w:rsidRPr="00085401">
        <w:rPr>
          <w:rFonts w:ascii="Arial" w:hAnsi="Arial" w:cs="Arial"/>
          <w:sz w:val="24"/>
          <w:szCs w:val="24"/>
        </w:rPr>
        <w:t>n depth meeting</w:t>
      </w:r>
      <w:r>
        <w:rPr>
          <w:rFonts w:ascii="Arial" w:hAnsi="Arial" w:cs="Arial"/>
          <w:sz w:val="24"/>
          <w:szCs w:val="24"/>
        </w:rPr>
        <w:t>s</w:t>
      </w:r>
      <w:r w:rsidRPr="00085401">
        <w:rPr>
          <w:rFonts w:ascii="Arial" w:hAnsi="Arial" w:cs="Arial"/>
          <w:sz w:val="24"/>
          <w:szCs w:val="24"/>
        </w:rPr>
        <w:t xml:space="preserve"> with the Assurance Team. </w:t>
      </w:r>
    </w:p>
    <w:p w14:paraId="71123876" w14:textId="77777777" w:rsidR="00085401" w:rsidRDefault="00085401" w:rsidP="00085401">
      <w:pPr>
        <w:pStyle w:val="NoSpacing"/>
        <w:numPr>
          <w:ilvl w:val="0"/>
          <w:numId w:val="2"/>
        </w:numPr>
        <w:ind w:left="851" w:hanging="425"/>
        <w:rPr>
          <w:rFonts w:ascii="Arial" w:hAnsi="Arial" w:cs="Arial"/>
          <w:sz w:val="24"/>
          <w:szCs w:val="24"/>
        </w:rPr>
      </w:pPr>
      <w:r w:rsidRPr="00085401">
        <w:rPr>
          <w:rFonts w:ascii="Arial" w:hAnsi="Arial" w:cs="Arial"/>
          <w:sz w:val="24"/>
          <w:szCs w:val="24"/>
        </w:rPr>
        <w:t>The focus will be further exploration of information to secure confidence of governance, counter fraud, procurement and subsidy control for the fund(s) in scope</w:t>
      </w:r>
    </w:p>
    <w:p w14:paraId="623D42FE" w14:textId="4BEC7A94" w:rsidR="00085401" w:rsidRPr="00085401" w:rsidRDefault="00085401" w:rsidP="00085401">
      <w:pPr>
        <w:pStyle w:val="NoSpacing"/>
        <w:numPr>
          <w:ilvl w:val="0"/>
          <w:numId w:val="2"/>
        </w:numPr>
        <w:ind w:left="851" w:hanging="425"/>
        <w:rPr>
          <w:rFonts w:ascii="Arial" w:hAnsi="Arial" w:cs="Arial"/>
          <w:sz w:val="24"/>
          <w:szCs w:val="24"/>
        </w:rPr>
      </w:pPr>
      <w:r>
        <w:rPr>
          <w:rFonts w:ascii="Arial" w:hAnsi="Arial" w:cs="Arial"/>
          <w:sz w:val="24"/>
          <w:szCs w:val="24"/>
        </w:rPr>
        <w:t>P</w:t>
      </w:r>
      <w:r w:rsidRPr="00085401">
        <w:rPr>
          <w:rFonts w:ascii="Arial" w:hAnsi="Arial" w:cs="Arial"/>
          <w:sz w:val="24"/>
          <w:szCs w:val="24"/>
        </w:rPr>
        <w:t>rocurement and subsidy control sample</w:t>
      </w:r>
      <w:r>
        <w:rPr>
          <w:rFonts w:ascii="Arial" w:hAnsi="Arial" w:cs="Arial"/>
          <w:sz w:val="24"/>
          <w:szCs w:val="24"/>
        </w:rPr>
        <w:t>s</w:t>
      </w:r>
      <w:r w:rsidRPr="00085401">
        <w:rPr>
          <w:rFonts w:ascii="Arial" w:hAnsi="Arial" w:cs="Arial"/>
          <w:sz w:val="24"/>
          <w:szCs w:val="24"/>
        </w:rPr>
        <w:t xml:space="preserve"> </w:t>
      </w:r>
    </w:p>
    <w:p w14:paraId="619197F5" w14:textId="56B40ECF" w:rsidR="00255FC0" w:rsidRDefault="00255FC0" w:rsidP="00255FC0">
      <w:pPr>
        <w:pStyle w:val="NoSpacing"/>
        <w:ind w:left="360"/>
        <w:rPr>
          <w:rFonts w:ascii="Arial" w:hAnsi="Arial" w:cs="Arial"/>
          <w:sz w:val="24"/>
          <w:szCs w:val="24"/>
        </w:rPr>
      </w:pPr>
    </w:p>
    <w:p w14:paraId="540E9DA5" w14:textId="495A4727" w:rsidR="00954F4B" w:rsidRDefault="006718D7" w:rsidP="0080301A">
      <w:pPr>
        <w:pStyle w:val="NoSpacing"/>
        <w:numPr>
          <w:ilvl w:val="1"/>
          <w:numId w:val="10"/>
        </w:numPr>
        <w:ind w:left="709" w:hanging="709"/>
        <w:rPr>
          <w:rFonts w:ascii="Arial" w:hAnsi="Arial" w:cs="Arial"/>
          <w:sz w:val="24"/>
          <w:szCs w:val="24"/>
        </w:rPr>
      </w:pPr>
      <w:r>
        <w:rPr>
          <w:rFonts w:ascii="Arial" w:hAnsi="Arial" w:cs="Arial"/>
          <w:sz w:val="24"/>
          <w:szCs w:val="24"/>
        </w:rPr>
        <w:lastRenderedPageBreak/>
        <w:t>In amongst the general overview of policies and procedures, the</w:t>
      </w:r>
      <w:r w:rsidR="005B2631">
        <w:rPr>
          <w:rFonts w:ascii="Arial" w:hAnsi="Arial" w:cs="Arial"/>
          <w:sz w:val="24"/>
          <w:szCs w:val="24"/>
        </w:rPr>
        <w:t xml:space="preserve"> </w:t>
      </w:r>
      <w:r>
        <w:rPr>
          <w:rFonts w:ascii="Arial" w:hAnsi="Arial" w:cs="Arial"/>
          <w:sz w:val="24"/>
          <w:szCs w:val="24"/>
        </w:rPr>
        <w:t xml:space="preserve">Assurance Team </w:t>
      </w:r>
      <w:r w:rsidR="00A01DAF">
        <w:rPr>
          <w:rFonts w:ascii="Arial" w:hAnsi="Arial" w:cs="Arial"/>
          <w:sz w:val="24"/>
          <w:szCs w:val="24"/>
        </w:rPr>
        <w:t>sought</w:t>
      </w:r>
      <w:r>
        <w:rPr>
          <w:rFonts w:ascii="Arial" w:hAnsi="Arial" w:cs="Arial"/>
          <w:sz w:val="24"/>
          <w:szCs w:val="24"/>
        </w:rPr>
        <w:t xml:space="preserve"> to </w:t>
      </w:r>
      <w:r w:rsidR="00A01DAF">
        <w:rPr>
          <w:rFonts w:ascii="Arial" w:hAnsi="Arial" w:cs="Arial"/>
          <w:sz w:val="24"/>
          <w:szCs w:val="24"/>
        </w:rPr>
        <w:t>review</w:t>
      </w:r>
      <w:r>
        <w:rPr>
          <w:rFonts w:ascii="Arial" w:hAnsi="Arial" w:cs="Arial"/>
          <w:sz w:val="24"/>
          <w:szCs w:val="24"/>
        </w:rPr>
        <w:t xml:space="preserve"> these </w:t>
      </w:r>
      <w:r w:rsidR="00A01DAF">
        <w:rPr>
          <w:rFonts w:ascii="Arial" w:hAnsi="Arial" w:cs="Arial"/>
          <w:sz w:val="24"/>
          <w:szCs w:val="24"/>
        </w:rPr>
        <w:t>against</w:t>
      </w:r>
      <w:r>
        <w:rPr>
          <w:rFonts w:ascii="Arial" w:hAnsi="Arial" w:cs="Arial"/>
          <w:sz w:val="24"/>
          <w:szCs w:val="24"/>
        </w:rPr>
        <w:t xml:space="preserve"> the process of managing a sample </w:t>
      </w:r>
      <w:r w:rsidR="00A01DAF">
        <w:rPr>
          <w:rFonts w:ascii="Arial" w:hAnsi="Arial" w:cs="Arial"/>
          <w:sz w:val="24"/>
          <w:szCs w:val="24"/>
        </w:rPr>
        <w:t xml:space="preserve">of projects, including Mansfield Connect, </w:t>
      </w:r>
      <w:r w:rsidR="009E359A">
        <w:rPr>
          <w:rFonts w:ascii="Arial" w:hAnsi="Arial" w:cs="Arial"/>
          <w:sz w:val="24"/>
          <w:szCs w:val="24"/>
        </w:rPr>
        <w:t>t</w:t>
      </w:r>
      <w:r w:rsidR="00A01DAF">
        <w:rPr>
          <w:rFonts w:ascii="Arial" w:hAnsi="Arial" w:cs="Arial"/>
          <w:sz w:val="24"/>
          <w:szCs w:val="24"/>
        </w:rPr>
        <w:t xml:space="preserve">he </w:t>
      </w:r>
      <w:r w:rsidR="009E359A">
        <w:rPr>
          <w:rFonts w:ascii="Arial" w:hAnsi="Arial" w:cs="Arial"/>
          <w:sz w:val="24"/>
          <w:szCs w:val="24"/>
        </w:rPr>
        <w:t xml:space="preserve">Future </w:t>
      </w:r>
      <w:r w:rsidR="00954F4B">
        <w:rPr>
          <w:rFonts w:ascii="Arial" w:hAnsi="Arial" w:cs="Arial"/>
          <w:sz w:val="24"/>
          <w:szCs w:val="24"/>
        </w:rPr>
        <w:t xml:space="preserve">Technology Skills and Knowledge Exchange </w:t>
      </w:r>
      <w:r w:rsidR="005B2631">
        <w:rPr>
          <w:rFonts w:ascii="Arial" w:hAnsi="Arial" w:cs="Arial"/>
          <w:sz w:val="24"/>
          <w:szCs w:val="24"/>
        </w:rPr>
        <w:t xml:space="preserve">Council </w:t>
      </w:r>
      <w:r w:rsidR="00954F4B">
        <w:rPr>
          <w:rFonts w:ascii="Arial" w:hAnsi="Arial" w:cs="Arial"/>
          <w:sz w:val="24"/>
          <w:szCs w:val="24"/>
        </w:rPr>
        <w:t xml:space="preserve">and the Berry Hil, Park project.  </w:t>
      </w:r>
      <w:r w:rsidR="00A642D8">
        <w:rPr>
          <w:rFonts w:ascii="Arial" w:hAnsi="Arial" w:cs="Arial"/>
          <w:sz w:val="24"/>
          <w:szCs w:val="24"/>
        </w:rPr>
        <w:t xml:space="preserve">Additionally, the Assurance Team wished </w:t>
      </w:r>
      <w:r w:rsidR="00765BF1">
        <w:rPr>
          <w:rFonts w:ascii="Arial" w:hAnsi="Arial" w:cs="Arial"/>
          <w:sz w:val="24"/>
          <w:szCs w:val="24"/>
        </w:rPr>
        <w:t>t</w:t>
      </w:r>
      <w:r w:rsidR="00A642D8">
        <w:rPr>
          <w:rFonts w:ascii="Arial" w:hAnsi="Arial" w:cs="Arial"/>
          <w:sz w:val="24"/>
          <w:szCs w:val="24"/>
        </w:rPr>
        <w:t xml:space="preserve">o review </w:t>
      </w:r>
      <w:r w:rsidR="00765BF1">
        <w:rPr>
          <w:rFonts w:ascii="Arial" w:hAnsi="Arial" w:cs="Arial"/>
          <w:sz w:val="24"/>
          <w:szCs w:val="24"/>
        </w:rPr>
        <w:t xml:space="preserve">governance matters and </w:t>
      </w:r>
      <w:r w:rsidR="0099229F">
        <w:rPr>
          <w:rFonts w:ascii="Arial" w:hAnsi="Arial" w:cs="Arial"/>
          <w:sz w:val="24"/>
          <w:szCs w:val="24"/>
        </w:rPr>
        <w:t>compliance with the due process</w:t>
      </w:r>
      <w:r w:rsidR="00CF13D7">
        <w:rPr>
          <w:rFonts w:ascii="Arial" w:hAnsi="Arial" w:cs="Arial"/>
          <w:sz w:val="24"/>
          <w:szCs w:val="24"/>
        </w:rPr>
        <w:t xml:space="preserve"> as applied to the respective funding. </w:t>
      </w:r>
    </w:p>
    <w:p w14:paraId="2DEB6165" w14:textId="77777777" w:rsidR="002F0E25" w:rsidRDefault="002F0E25" w:rsidP="002F0E25">
      <w:pPr>
        <w:pStyle w:val="NoSpacing"/>
        <w:rPr>
          <w:rFonts w:ascii="Arial" w:hAnsi="Arial" w:cs="Arial"/>
          <w:sz w:val="24"/>
          <w:szCs w:val="24"/>
        </w:rPr>
      </w:pPr>
    </w:p>
    <w:p w14:paraId="4D653BFE" w14:textId="0C46D3B5" w:rsidR="002F0E25" w:rsidRPr="002F0E25" w:rsidRDefault="002F0E25" w:rsidP="0080301A">
      <w:pPr>
        <w:pStyle w:val="NoSpacing"/>
        <w:numPr>
          <w:ilvl w:val="0"/>
          <w:numId w:val="10"/>
        </w:numPr>
        <w:rPr>
          <w:rFonts w:ascii="Arial" w:hAnsi="Arial" w:cs="Arial"/>
          <w:b/>
          <w:bCs/>
          <w:sz w:val="24"/>
          <w:szCs w:val="24"/>
        </w:rPr>
      </w:pPr>
      <w:r w:rsidRPr="002F0E25">
        <w:rPr>
          <w:rFonts w:ascii="Arial" w:hAnsi="Arial" w:cs="Arial"/>
          <w:b/>
          <w:bCs/>
          <w:sz w:val="24"/>
          <w:szCs w:val="24"/>
        </w:rPr>
        <w:t xml:space="preserve">Conclusions </w:t>
      </w:r>
    </w:p>
    <w:p w14:paraId="76C384CF" w14:textId="77777777" w:rsidR="00954F4B" w:rsidRDefault="00954F4B" w:rsidP="00954F4B">
      <w:pPr>
        <w:pStyle w:val="NoSpacing"/>
        <w:ind w:left="360"/>
        <w:rPr>
          <w:rFonts w:ascii="Arial" w:hAnsi="Arial" w:cs="Arial"/>
          <w:sz w:val="24"/>
          <w:szCs w:val="24"/>
        </w:rPr>
      </w:pPr>
    </w:p>
    <w:p w14:paraId="4B0DDB58" w14:textId="695EC888" w:rsidR="00255FC0" w:rsidRDefault="0080301A" w:rsidP="0080301A">
      <w:pPr>
        <w:pStyle w:val="NoSpacing"/>
        <w:ind w:left="720" w:hanging="720"/>
        <w:rPr>
          <w:rFonts w:ascii="Arial" w:hAnsi="Arial" w:cs="Arial"/>
          <w:sz w:val="24"/>
          <w:szCs w:val="24"/>
        </w:rPr>
      </w:pPr>
      <w:r>
        <w:rPr>
          <w:rFonts w:ascii="Arial" w:hAnsi="Arial" w:cs="Arial"/>
          <w:sz w:val="24"/>
          <w:szCs w:val="24"/>
        </w:rPr>
        <w:t>4.1</w:t>
      </w:r>
      <w:r>
        <w:rPr>
          <w:rFonts w:ascii="Arial" w:hAnsi="Arial" w:cs="Arial"/>
          <w:sz w:val="24"/>
          <w:szCs w:val="24"/>
        </w:rPr>
        <w:tab/>
      </w:r>
      <w:r w:rsidR="00CF13D7">
        <w:rPr>
          <w:rFonts w:ascii="Arial" w:hAnsi="Arial" w:cs="Arial"/>
          <w:sz w:val="24"/>
          <w:szCs w:val="24"/>
        </w:rPr>
        <w:t xml:space="preserve">Overall, the Council received a positive </w:t>
      </w:r>
      <w:r w:rsidR="005B2631" w:rsidRPr="00CF13D7">
        <w:rPr>
          <w:rFonts w:ascii="Arial" w:hAnsi="Arial" w:cs="Arial"/>
          <w:sz w:val="24"/>
          <w:szCs w:val="24"/>
        </w:rPr>
        <w:t xml:space="preserve">response to the Deep Dive </w:t>
      </w:r>
      <w:r w:rsidR="006718D7" w:rsidRPr="00CF13D7">
        <w:rPr>
          <w:rFonts w:ascii="Arial" w:hAnsi="Arial" w:cs="Arial"/>
          <w:sz w:val="24"/>
          <w:szCs w:val="24"/>
        </w:rPr>
        <w:t>process</w:t>
      </w:r>
      <w:r w:rsidR="00146E7F">
        <w:rPr>
          <w:rFonts w:ascii="Arial" w:hAnsi="Arial" w:cs="Arial"/>
          <w:sz w:val="24"/>
          <w:szCs w:val="24"/>
        </w:rPr>
        <w:t>, with some</w:t>
      </w:r>
      <w:r w:rsidR="00214518">
        <w:rPr>
          <w:rFonts w:ascii="Arial" w:hAnsi="Arial" w:cs="Arial"/>
          <w:sz w:val="24"/>
          <w:szCs w:val="24"/>
        </w:rPr>
        <w:t xml:space="preserve"> key considerations for the Council in its role as programme manager and as the accountable body for the </w:t>
      </w:r>
      <w:r w:rsidR="003266BF">
        <w:rPr>
          <w:rFonts w:ascii="Arial" w:hAnsi="Arial" w:cs="Arial"/>
          <w:sz w:val="24"/>
          <w:szCs w:val="24"/>
        </w:rPr>
        <w:t>respective</w:t>
      </w:r>
      <w:r w:rsidR="00214518">
        <w:rPr>
          <w:rFonts w:ascii="Arial" w:hAnsi="Arial" w:cs="Arial"/>
          <w:sz w:val="24"/>
          <w:szCs w:val="24"/>
        </w:rPr>
        <w:t xml:space="preserve"> funds</w:t>
      </w:r>
      <w:r w:rsidR="00E6617F">
        <w:rPr>
          <w:rFonts w:ascii="Arial" w:hAnsi="Arial" w:cs="Arial"/>
          <w:sz w:val="24"/>
          <w:szCs w:val="24"/>
        </w:rPr>
        <w:t xml:space="preserve"> – these same </w:t>
      </w:r>
      <w:r w:rsidR="003266BF">
        <w:rPr>
          <w:rFonts w:ascii="Arial" w:hAnsi="Arial" w:cs="Arial"/>
          <w:sz w:val="24"/>
          <w:szCs w:val="24"/>
        </w:rPr>
        <w:t>considerations</w:t>
      </w:r>
      <w:r w:rsidR="00E6617F">
        <w:rPr>
          <w:rFonts w:ascii="Arial" w:hAnsi="Arial" w:cs="Arial"/>
          <w:sz w:val="24"/>
          <w:szCs w:val="24"/>
        </w:rPr>
        <w:t xml:space="preserve"> apply to the Council’s role </w:t>
      </w:r>
      <w:r w:rsidR="003266BF">
        <w:rPr>
          <w:rFonts w:ascii="Arial" w:hAnsi="Arial" w:cs="Arial"/>
          <w:sz w:val="24"/>
          <w:szCs w:val="24"/>
        </w:rPr>
        <w:t>o</w:t>
      </w:r>
      <w:r w:rsidR="00E6617F">
        <w:rPr>
          <w:rFonts w:ascii="Arial" w:hAnsi="Arial" w:cs="Arial"/>
          <w:sz w:val="24"/>
          <w:szCs w:val="24"/>
        </w:rPr>
        <w:t xml:space="preserve">n </w:t>
      </w:r>
      <w:r w:rsidR="003266BF">
        <w:rPr>
          <w:rFonts w:ascii="Arial" w:hAnsi="Arial" w:cs="Arial"/>
          <w:sz w:val="24"/>
          <w:szCs w:val="24"/>
        </w:rPr>
        <w:t>future funding.</w:t>
      </w:r>
      <w:r w:rsidR="002F0E25">
        <w:rPr>
          <w:rFonts w:ascii="Arial" w:hAnsi="Arial" w:cs="Arial"/>
          <w:sz w:val="24"/>
          <w:szCs w:val="24"/>
        </w:rPr>
        <w:t xml:space="preserve"> The key issue</w:t>
      </w:r>
      <w:r w:rsidR="006B706F">
        <w:rPr>
          <w:rFonts w:ascii="Arial" w:hAnsi="Arial" w:cs="Arial"/>
          <w:sz w:val="24"/>
          <w:szCs w:val="24"/>
        </w:rPr>
        <w:t>s may be summarised as follows</w:t>
      </w:r>
      <w:r w:rsidR="00597D36">
        <w:rPr>
          <w:rFonts w:ascii="Arial" w:hAnsi="Arial" w:cs="Arial"/>
          <w:sz w:val="24"/>
          <w:szCs w:val="24"/>
        </w:rPr>
        <w:t>, taken directly from the report</w:t>
      </w:r>
      <w:r w:rsidR="006B706F">
        <w:rPr>
          <w:rFonts w:ascii="Arial" w:hAnsi="Arial" w:cs="Arial"/>
          <w:sz w:val="24"/>
          <w:szCs w:val="24"/>
        </w:rPr>
        <w:t>:</w:t>
      </w:r>
    </w:p>
    <w:p w14:paraId="0BF9E25E" w14:textId="77777777" w:rsidR="002F0E25" w:rsidRDefault="002F0E25" w:rsidP="00214518">
      <w:pPr>
        <w:pStyle w:val="NoSpacing"/>
        <w:rPr>
          <w:rFonts w:ascii="Arial" w:hAnsi="Arial" w:cs="Arial"/>
          <w:sz w:val="24"/>
          <w:szCs w:val="24"/>
        </w:rPr>
      </w:pPr>
    </w:p>
    <w:p w14:paraId="580E5B9D" w14:textId="77777777" w:rsidR="002F0E25" w:rsidRDefault="00214518" w:rsidP="00214518">
      <w:pPr>
        <w:pStyle w:val="NoSpacing"/>
        <w:numPr>
          <w:ilvl w:val="0"/>
          <w:numId w:val="3"/>
        </w:numPr>
        <w:rPr>
          <w:rFonts w:ascii="Arial" w:hAnsi="Arial" w:cs="Arial"/>
          <w:sz w:val="24"/>
          <w:szCs w:val="24"/>
        </w:rPr>
      </w:pPr>
      <w:r w:rsidRPr="00214518">
        <w:rPr>
          <w:rFonts w:ascii="Arial" w:hAnsi="Arial" w:cs="Arial"/>
          <w:sz w:val="24"/>
          <w:szCs w:val="24"/>
        </w:rPr>
        <w:t>Mansfield District Council (MDC) has governance structures, systems, and processes in place for managing funds, and through a programme of internal audit review appears to keep the adequacy of its systems under review. A thorough decision-making process is implemented, with levels of review and scrutiny to ensure accountability and effective oversight.</w:t>
      </w:r>
    </w:p>
    <w:p w14:paraId="47D4D547" w14:textId="77777777" w:rsidR="008B1ADE" w:rsidRDefault="008B1ADE" w:rsidP="00214518">
      <w:pPr>
        <w:pStyle w:val="NoSpacing"/>
        <w:numPr>
          <w:ilvl w:val="0"/>
          <w:numId w:val="3"/>
        </w:numPr>
        <w:rPr>
          <w:rFonts w:ascii="Arial" w:hAnsi="Arial" w:cs="Arial"/>
          <w:sz w:val="24"/>
          <w:szCs w:val="24"/>
        </w:rPr>
      </w:pPr>
      <w:r>
        <w:rPr>
          <w:rFonts w:ascii="Arial" w:hAnsi="Arial" w:cs="Arial"/>
          <w:sz w:val="24"/>
          <w:szCs w:val="24"/>
        </w:rPr>
        <w:t>MDC</w:t>
      </w:r>
      <w:r w:rsidR="00214518" w:rsidRPr="00214518">
        <w:rPr>
          <w:rFonts w:ascii="Arial" w:hAnsi="Arial" w:cs="Arial"/>
          <w:sz w:val="24"/>
          <w:szCs w:val="24"/>
        </w:rPr>
        <w:t xml:space="preserve"> has proactively reviewed the governance structure of its Place Board (including the Town Deal Board function) to meet the changing needs of the management of funds and to consider best practice, as demonstrated by the ToR and Code of Conduct revised in March 2024.</w:t>
      </w:r>
    </w:p>
    <w:p w14:paraId="0FFCE89E" w14:textId="77777777" w:rsidR="00597D36" w:rsidRDefault="00214518" w:rsidP="00214518">
      <w:pPr>
        <w:pStyle w:val="NoSpacing"/>
        <w:numPr>
          <w:ilvl w:val="0"/>
          <w:numId w:val="3"/>
        </w:numPr>
        <w:rPr>
          <w:rFonts w:ascii="Arial" w:hAnsi="Arial" w:cs="Arial"/>
          <w:sz w:val="24"/>
          <w:szCs w:val="24"/>
        </w:rPr>
      </w:pPr>
      <w:r w:rsidRPr="00214518">
        <w:rPr>
          <w:rFonts w:ascii="Arial" w:hAnsi="Arial" w:cs="Arial"/>
          <w:sz w:val="24"/>
          <w:szCs w:val="24"/>
        </w:rPr>
        <w:t xml:space="preserve">Whilst </w:t>
      </w:r>
      <w:r w:rsidR="006B706F">
        <w:rPr>
          <w:rFonts w:ascii="Arial" w:hAnsi="Arial" w:cs="Arial"/>
          <w:sz w:val="24"/>
          <w:szCs w:val="24"/>
        </w:rPr>
        <w:t xml:space="preserve">MDC </w:t>
      </w:r>
      <w:r w:rsidRPr="00214518">
        <w:rPr>
          <w:rFonts w:ascii="Arial" w:hAnsi="Arial" w:cs="Arial"/>
          <w:sz w:val="24"/>
          <w:szCs w:val="24"/>
        </w:rPr>
        <w:t>has in place conflict of interest policies, and interests can be seen to be recorded, limited published information was available to demonstrate how any conflicts were considered and managed in Place Board meetings. A recommendation has been made to further aid transparency of interests and to serve as good practice</w:t>
      </w:r>
      <w:r w:rsidR="0092214B">
        <w:rPr>
          <w:rFonts w:ascii="Arial" w:hAnsi="Arial" w:cs="Arial"/>
          <w:sz w:val="24"/>
          <w:szCs w:val="24"/>
        </w:rPr>
        <w:t>.</w:t>
      </w:r>
    </w:p>
    <w:p w14:paraId="7D16A19E" w14:textId="77777777" w:rsidR="00597D36" w:rsidRDefault="00597D36" w:rsidP="00214518">
      <w:pPr>
        <w:pStyle w:val="NoSpacing"/>
        <w:numPr>
          <w:ilvl w:val="0"/>
          <w:numId w:val="3"/>
        </w:numPr>
        <w:rPr>
          <w:rFonts w:ascii="Arial" w:hAnsi="Arial" w:cs="Arial"/>
          <w:sz w:val="24"/>
          <w:szCs w:val="24"/>
        </w:rPr>
      </w:pPr>
      <w:r>
        <w:rPr>
          <w:rFonts w:ascii="Arial" w:hAnsi="Arial" w:cs="Arial"/>
          <w:sz w:val="24"/>
          <w:szCs w:val="24"/>
        </w:rPr>
        <w:t xml:space="preserve">MDC </w:t>
      </w:r>
      <w:r w:rsidR="00214518" w:rsidRPr="00214518">
        <w:rPr>
          <w:rFonts w:ascii="Arial" w:hAnsi="Arial" w:cs="Arial"/>
          <w:sz w:val="24"/>
          <w:szCs w:val="24"/>
        </w:rPr>
        <w:t>acknowledged that published information needs updating to fully meet the prospectus and transparency requirements. An action has been raised in this respect which the council is already progressing</w:t>
      </w:r>
      <w:r>
        <w:rPr>
          <w:rFonts w:ascii="Arial" w:hAnsi="Arial" w:cs="Arial"/>
          <w:sz w:val="24"/>
          <w:szCs w:val="24"/>
        </w:rPr>
        <w:t>.</w:t>
      </w:r>
    </w:p>
    <w:p w14:paraId="59E87EBC" w14:textId="2581BC04" w:rsidR="00214518" w:rsidRPr="00214518" w:rsidRDefault="00214518" w:rsidP="00214518">
      <w:pPr>
        <w:pStyle w:val="NoSpacing"/>
        <w:numPr>
          <w:ilvl w:val="0"/>
          <w:numId w:val="3"/>
        </w:numPr>
        <w:rPr>
          <w:rFonts w:ascii="Arial" w:hAnsi="Arial" w:cs="Arial"/>
          <w:sz w:val="24"/>
          <w:szCs w:val="24"/>
        </w:rPr>
      </w:pPr>
      <w:r w:rsidRPr="00214518">
        <w:rPr>
          <w:rFonts w:ascii="Arial" w:hAnsi="Arial" w:cs="Arial"/>
          <w:sz w:val="24"/>
          <w:szCs w:val="24"/>
        </w:rPr>
        <w:t>Regular evaluations and performance monitoring indicate a proactive approach to governance. Whilst the council's capacity is limited, the existing processes suggest a structured and capable management approach.</w:t>
      </w:r>
    </w:p>
    <w:p w14:paraId="4752DE32" w14:textId="77777777" w:rsidR="00214518" w:rsidRPr="00214518" w:rsidRDefault="00214518" w:rsidP="00214518">
      <w:pPr>
        <w:pStyle w:val="NoSpacing"/>
        <w:rPr>
          <w:rFonts w:ascii="Arial" w:hAnsi="Arial" w:cs="Arial"/>
          <w:sz w:val="24"/>
          <w:szCs w:val="24"/>
        </w:rPr>
      </w:pPr>
    </w:p>
    <w:p w14:paraId="6C767D6F" w14:textId="27E2D11F" w:rsidR="00285B08" w:rsidRPr="00BC7F1F" w:rsidRDefault="00774A8C" w:rsidP="0080301A">
      <w:pPr>
        <w:pStyle w:val="NoSpacing"/>
        <w:numPr>
          <w:ilvl w:val="1"/>
          <w:numId w:val="10"/>
        </w:numPr>
        <w:ind w:left="709" w:hanging="709"/>
        <w:rPr>
          <w:rFonts w:ascii="Arial" w:hAnsi="Arial" w:cs="Arial"/>
          <w:sz w:val="24"/>
          <w:szCs w:val="24"/>
        </w:rPr>
      </w:pPr>
      <w:r w:rsidRPr="00BC7F1F">
        <w:rPr>
          <w:rFonts w:ascii="Arial" w:hAnsi="Arial" w:cs="Arial"/>
          <w:sz w:val="24"/>
          <w:szCs w:val="24"/>
        </w:rPr>
        <w:t>Two specific remedial ac</w:t>
      </w:r>
      <w:r w:rsidR="000329DA" w:rsidRPr="00BC7F1F">
        <w:rPr>
          <w:rFonts w:ascii="Arial" w:hAnsi="Arial" w:cs="Arial"/>
          <w:sz w:val="24"/>
          <w:szCs w:val="24"/>
        </w:rPr>
        <w:t xml:space="preserve">tions </w:t>
      </w:r>
      <w:r w:rsidR="00470591" w:rsidRPr="00BC7F1F">
        <w:rPr>
          <w:rFonts w:ascii="Arial" w:hAnsi="Arial" w:cs="Arial"/>
          <w:sz w:val="24"/>
          <w:szCs w:val="24"/>
        </w:rPr>
        <w:t>were referenced</w:t>
      </w:r>
      <w:r w:rsidR="00285B08" w:rsidRPr="00BC7F1F">
        <w:rPr>
          <w:rFonts w:ascii="Arial" w:hAnsi="Arial" w:cs="Arial"/>
          <w:sz w:val="24"/>
          <w:szCs w:val="24"/>
        </w:rPr>
        <w:t xml:space="preserve">, one about publishing </w:t>
      </w:r>
      <w:r w:rsidR="008E64C9" w:rsidRPr="00BC7F1F">
        <w:rPr>
          <w:rFonts w:ascii="Arial" w:hAnsi="Arial" w:cs="Arial"/>
          <w:sz w:val="24"/>
          <w:szCs w:val="24"/>
        </w:rPr>
        <w:t xml:space="preserve">fraud statistics which is being addressed </w:t>
      </w:r>
      <w:r w:rsidR="00F914A7" w:rsidRPr="00BC7F1F">
        <w:rPr>
          <w:rFonts w:ascii="Arial" w:hAnsi="Arial" w:cs="Arial"/>
          <w:sz w:val="24"/>
          <w:szCs w:val="24"/>
        </w:rPr>
        <w:t>and of relevance to the Board, t</w:t>
      </w:r>
      <w:r w:rsidR="00426F4C" w:rsidRPr="00BC7F1F">
        <w:rPr>
          <w:rFonts w:ascii="Arial" w:hAnsi="Arial" w:cs="Arial"/>
          <w:sz w:val="24"/>
          <w:szCs w:val="24"/>
        </w:rPr>
        <w:t xml:space="preserve">o ensure </w:t>
      </w:r>
      <w:r w:rsidR="00AA79E8" w:rsidRPr="00BC7F1F">
        <w:rPr>
          <w:rFonts w:ascii="Arial" w:hAnsi="Arial" w:cs="Arial"/>
          <w:sz w:val="24"/>
          <w:szCs w:val="24"/>
        </w:rPr>
        <w:t xml:space="preserve">the </w:t>
      </w:r>
      <w:r w:rsidR="00C05628" w:rsidRPr="00BC7F1F">
        <w:rPr>
          <w:rFonts w:ascii="Arial" w:hAnsi="Arial" w:cs="Arial"/>
          <w:sz w:val="24"/>
          <w:szCs w:val="24"/>
        </w:rPr>
        <w:t>Place Board</w:t>
      </w:r>
      <w:r w:rsidR="00760F77" w:rsidRPr="00BC7F1F">
        <w:rPr>
          <w:rFonts w:ascii="Arial" w:hAnsi="Arial" w:cs="Arial"/>
          <w:sz w:val="24"/>
          <w:szCs w:val="24"/>
        </w:rPr>
        <w:t xml:space="preserve"> papers and </w:t>
      </w:r>
      <w:r w:rsidR="00A204A4" w:rsidRPr="00BC7F1F">
        <w:rPr>
          <w:rFonts w:ascii="Arial" w:hAnsi="Arial" w:cs="Arial"/>
          <w:sz w:val="24"/>
          <w:szCs w:val="24"/>
        </w:rPr>
        <w:t>associated</w:t>
      </w:r>
      <w:r w:rsidR="00D373D3" w:rsidRPr="00BC7F1F">
        <w:rPr>
          <w:rFonts w:ascii="Arial" w:hAnsi="Arial" w:cs="Arial"/>
          <w:sz w:val="24"/>
          <w:szCs w:val="24"/>
        </w:rPr>
        <w:t xml:space="preserve"> Place Board </w:t>
      </w:r>
      <w:r w:rsidR="00A204A4" w:rsidRPr="00BC7F1F">
        <w:rPr>
          <w:rFonts w:ascii="Arial" w:hAnsi="Arial" w:cs="Arial"/>
          <w:sz w:val="24"/>
          <w:szCs w:val="24"/>
        </w:rPr>
        <w:t xml:space="preserve">information </w:t>
      </w:r>
      <w:r w:rsidR="00760F77" w:rsidRPr="00BC7F1F">
        <w:rPr>
          <w:rFonts w:ascii="Arial" w:hAnsi="Arial" w:cs="Arial"/>
          <w:sz w:val="24"/>
          <w:szCs w:val="24"/>
        </w:rPr>
        <w:t>was published</w:t>
      </w:r>
      <w:r w:rsidR="00285B08" w:rsidRPr="00BC7F1F">
        <w:rPr>
          <w:rFonts w:ascii="Arial" w:hAnsi="Arial" w:cs="Arial"/>
          <w:sz w:val="24"/>
          <w:szCs w:val="24"/>
        </w:rPr>
        <w:t xml:space="preserve"> in a timely fashion and was up to date</w:t>
      </w:r>
      <w:r w:rsidR="00D373D3" w:rsidRPr="00BC7F1F">
        <w:rPr>
          <w:rFonts w:ascii="Arial" w:hAnsi="Arial" w:cs="Arial"/>
          <w:sz w:val="24"/>
          <w:szCs w:val="24"/>
        </w:rPr>
        <w:t>.</w:t>
      </w:r>
      <w:r w:rsidR="00BC7F1F">
        <w:rPr>
          <w:rFonts w:ascii="Arial" w:hAnsi="Arial" w:cs="Arial"/>
          <w:sz w:val="24"/>
          <w:szCs w:val="24"/>
        </w:rPr>
        <w:t xml:space="preserve">  This has now been addressed, b</w:t>
      </w:r>
      <w:r w:rsidR="0022609C">
        <w:rPr>
          <w:rFonts w:ascii="Arial" w:hAnsi="Arial" w:cs="Arial"/>
          <w:sz w:val="24"/>
          <w:szCs w:val="24"/>
        </w:rPr>
        <w:t xml:space="preserve">ut with </w:t>
      </w:r>
      <w:r w:rsidR="00BC7F1F">
        <w:rPr>
          <w:rFonts w:ascii="Arial" w:hAnsi="Arial" w:cs="Arial"/>
          <w:sz w:val="24"/>
          <w:szCs w:val="24"/>
        </w:rPr>
        <w:t xml:space="preserve">additional ideas as to Board </w:t>
      </w:r>
      <w:r w:rsidR="0022609C">
        <w:rPr>
          <w:rFonts w:ascii="Arial" w:hAnsi="Arial" w:cs="Arial"/>
          <w:sz w:val="24"/>
          <w:szCs w:val="24"/>
        </w:rPr>
        <w:t>performance</w:t>
      </w:r>
      <w:r w:rsidR="00BC7F1F">
        <w:rPr>
          <w:rFonts w:ascii="Arial" w:hAnsi="Arial" w:cs="Arial"/>
          <w:sz w:val="24"/>
          <w:szCs w:val="24"/>
        </w:rPr>
        <w:t xml:space="preserve"> and </w:t>
      </w:r>
      <w:r w:rsidR="00922E1C">
        <w:rPr>
          <w:rFonts w:ascii="Arial" w:hAnsi="Arial" w:cs="Arial"/>
          <w:sz w:val="24"/>
          <w:szCs w:val="24"/>
        </w:rPr>
        <w:t xml:space="preserve">wider </w:t>
      </w:r>
      <w:r w:rsidR="0022609C">
        <w:rPr>
          <w:rFonts w:ascii="Arial" w:hAnsi="Arial" w:cs="Arial"/>
          <w:sz w:val="24"/>
          <w:szCs w:val="24"/>
        </w:rPr>
        <w:t xml:space="preserve">communication to be </w:t>
      </w:r>
      <w:r w:rsidR="002B0080">
        <w:rPr>
          <w:rFonts w:ascii="Arial" w:hAnsi="Arial" w:cs="Arial"/>
          <w:sz w:val="24"/>
          <w:szCs w:val="24"/>
        </w:rPr>
        <w:t>reviewed</w:t>
      </w:r>
      <w:r w:rsidR="00922E1C">
        <w:rPr>
          <w:rFonts w:ascii="Arial" w:hAnsi="Arial" w:cs="Arial"/>
          <w:sz w:val="24"/>
          <w:szCs w:val="24"/>
        </w:rPr>
        <w:t xml:space="preserve"> following the Board review meeting on the </w:t>
      </w:r>
      <w:r w:rsidR="00AB2A81">
        <w:rPr>
          <w:rFonts w:ascii="Arial" w:hAnsi="Arial" w:cs="Arial"/>
          <w:sz w:val="24"/>
          <w:szCs w:val="24"/>
        </w:rPr>
        <w:t>28 March 2025.</w:t>
      </w:r>
    </w:p>
    <w:p w14:paraId="45F2406F" w14:textId="67C652AB" w:rsidR="00774A8C" w:rsidRDefault="00774A8C" w:rsidP="00774A8C">
      <w:pPr>
        <w:pStyle w:val="NoSpacing"/>
        <w:ind w:left="360"/>
        <w:rPr>
          <w:rFonts w:ascii="Arial" w:hAnsi="Arial" w:cs="Arial"/>
          <w:sz w:val="24"/>
          <w:szCs w:val="24"/>
        </w:rPr>
      </w:pPr>
    </w:p>
    <w:p w14:paraId="75F63E1E" w14:textId="6100F411" w:rsidR="00446C3C" w:rsidRDefault="0080301A" w:rsidP="0080301A">
      <w:pPr>
        <w:pStyle w:val="NoSpacing"/>
        <w:ind w:left="709" w:hanging="709"/>
        <w:rPr>
          <w:rFonts w:ascii="Arial" w:hAnsi="Arial" w:cs="Arial"/>
          <w:sz w:val="24"/>
          <w:szCs w:val="24"/>
        </w:rPr>
      </w:pPr>
      <w:r>
        <w:rPr>
          <w:rFonts w:ascii="Arial" w:hAnsi="Arial" w:cs="Arial"/>
          <w:sz w:val="24"/>
          <w:szCs w:val="24"/>
        </w:rPr>
        <w:t>4.3</w:t>
      </w:r>
      <w:r>
        <w:rPr>
          <w:rFonts w:ascii="Arial" w:hAnsi="Arial" w:cs="Arial"/>
          <w:sz w:val="24"/>
          <w:szCs w:val="24"/>
        </w:rPr>
        <w:tab/>
      </w:r>
      <w:r w:rsidR="00597D36">
        <w:rPr>
          <w:rFonts w:ascii="Arial" w:hAnsi="Arial" w:cs="Arial"/>
          <w:sz w:val="24"/>
          <w:szCs w:val="24"/>
        </w:rPr>
        <w:t>It should be added that the review of the process behind the management of the individual projects w</w:t>
      </w:r>
      <w:r w:rsidR="00B607D1">
        <w:rPr>
          <w:rFonts w:ascii="Arial" w:hAnsi="Arial" w:cs="Arial"/>
          <w:sz w:val="24"/>
          <w:szCs w:val="24"/>
        </w:rPr>
        <w:t>as concluded satisfactorily</w:t>
      </w:r>
      <w:r w:rsidR="00AD0455">
        <w:rPr>
          <w:rFonts w:ascii="Arial" w:hAnsi="Arial" w:cs="Arial"/>
          <w:sz w:val="24"/>
          <w:szCs w:val="24"/>
        </w:rPr>
        <w:t xml:space="preserve">.  The Assurance Team also recognised and accepted that MDC </w:t>
      </w:r>
      <w:r w:rsidR="001A77B2">
        <w:rPr>
          <w:rFonts w:ascii="Arial" w:hAnsi="Arial" w:cs="Arial"/>
          <w:sz w:val="24"/>
          <w:szCs w:val="24"/>
        </w:rPr>
        <w:t xml:space="preserve">had </w:t>
      </w:r>
      <w:r w:rsidR="00015DD6">
        <w:rPr>
          <w:rFonts w:ascii="Arial" w:hAnsi="Arial" w:cs="Arial"/>
          <w:sz w:val="24"/>
          <w:szCs w:val="24"/>
        </w:rPr>
        <w:t xml:space="preserve">positioned itself with </w:t>
      </w:r>
      <w:r w:rsidR="00F61C84">
        <w:rPr>
          <w:rFonts w:ascii="Arial" w:hAnsi="Arial" w:cs="Arial"/>
          <w:sz w:val="24"/>
          <w:szCs w:val="24"/>
        </w:rPr>
        <w:t>the Place</w:t>
      </w:r>
      <w:r w:rsidR="00015DD6">
        <w:rPr>
          <w:rFonts w:ascii="Arial" w:hAnsi="Arial" w:cs="Arial"/>
          <w:sz w:val="24"/>
          <w:szCs w:val="24"/>
        </w:rPr>
        <w:t xml:space="preserve"> </w:t>
      </w:r>
      <w:r w:rsidR="00D82187">
        <w:rPr>
          <w:rFonts w:ascii="Arial" w:hAnsi="Arial" w:cs="Arial"/>
          <w:sz w:val="24"/>
          <w:szCs w:val="24"/>
        </w:rPr>
        <w:t>Board’s support</w:t>
      </w:r>
      <w:r w:rsidR="00015DD6">
        <w:rPr>
          <w:rFonts w:ascii="Arial" w:hAnsi="Arial" w:cs="Arial"/>
          <w:sz w:val="24"/>
          <w:szCs w:val="24"/>
        </w:rPr>
        <w:t xml:space="preserve"> o</w:t>
      </w:r>
      <w:r w:rsidR="00F61C84">
        <w:rPr>
          <w:rFonts w:ascii="Arial" w:hAnsi="Arial" w:cs="Arial"/>
          <w:sz w:val="24"/>
          <w:szCs w:val="24"/>
        </w:rPr>
        <w:t xml:space="preserve">ver compliance with the then </w:t>
      </w:r>
      <w:r w:rsidR="00933BAE">
        <w:rPr>
          <w:rFonts w:ascii="Arial" w:hAnsi="Arial" w:cs="Arial"/>
          <w:sz w:val="24"/>
          <w:szCs w:val="24"/>
        </w:rPr>
        <w:t xml:space="preserve">guidance for Long Term Plan for Towns and was awaiting further guidance on the </w:t>
      </w:r>
      <w:r w:rsidR="00B009C1">
        <w:rPr>
          <w:rFonts w:ascii="Arial" w:hAnsi="Arial" w:cs="Arial"/>
          <w:sz w:val="24"/>
          <w:szCs w:val="24"/>
        </w:rPr>
        <w:t>(</w:t>
      </w:r>
      <w:r w:rsidR="001D4B93">
        <w:rPr>
          <w:rFonts w:ascii="Arial" w:hAnsi="Arial" w:cs="Arial"/>
          <w:sz w:val="24"/>
          <w:szCs w:val="24"/>
        </w:rPr>
        <w:t xml:space="preserve">to be </w:t>
      </w:r>
      <w:r w:rsidR="00EF6E0B">
        <w:rPr>
          <w:rFonts w:ascii="Arial" w:hAnsi="Arial" w:cs="Arial"/>
          <w:sz w:val="24"/>
          <w:szCs w:val="24"/>
        </w:rPr>
        <w:t>announced</w:t>
      </w:r>
      <w:r w:rsidR="00B009C1">
        <w:rPr>
          <w:rFonts w:ascii="Arial" w:hAnsi="Arial" w:cs="Arial"/>
          <w:sz w:val="24"/>
          <w:szCs w:val="24"/>
        </w:rPr>
        <w:t xml:space="preserve">) </w:t>
      </w:r>
      <w:r w:rsidR="00933BAE">
        <w:rPr>
          <w:rFonts w:ascii="Arial" w:hAnsi="Arial" w:cs="Arial"/>
          <w:sz w:val="24"/>
          <w:szCs w:val="24"/>
        </w:rPr>
        <w:t xml:space="preserve">Plan for </w:t>
      </w:r>
      <w:r w:rsidR="00B009C1">
        <w:rPr>
          <w:rFonts w:ascii="Arial" w:hAnsi="Arial" w:cs="Arial"/>
          <w:sz w:val="24"/>
          <w:szCs w:val="24"/>
        </w:rPr>
        <w:t>Neighbourhoods</w:t>
      </w:r>
      <w:r w:rsidR="00967778">
        <w:rPr>
          <w:rFonts w:ascii="Arial" w:hAnsi="Arial" w:cs="Arial"/>
          <w:sz w:val="24"/>
          <w:szCs w:val="24"/>
        </w:rPr>
        <w:t xml:space="preserve"> to facilitate </w:t>
      </w:r>
      <w:r w:rsidR="00446C3C">
        <w:rPr>
          <w:rFonts w:ascii="Arial" w:hAnsi="Arial" w:cs="Arial"/>
          <w:sz w:val="24"/>
          <w:szCs w:val="24"/>
        </w:rPr>
        <w:t>any further required changes.</w:t>
      </w:r>
    </w:p>
    <w:p w14:paraId="7906EF67" w14:textId="77777777" w:rsidR="00F5068C" w:rsidRDefault="00F5068C" w:rsidP="00F5068C">
      <w:pPr>
        <w:pStyle w:val="ListParagraph"/>
        <w:rPr>
          <w:rFonts w:ascii="Arial" w:hAnsi="Arial" w:cs="Arial"/>
          <w:sz w:val="24"/>
          <w:szCs w:val="24"/>
        </w:rPr>
      </w:pPr>
    </w:p>
    <w:p w14:paraId="19AF66C9" w14:textId="6689390A" w:rsidR="00F5068C" w:rsidRDefault="00F5068C" w:rsidP="0080301A">
      <w:pPr>
        <w:pStyle w:val="NoSpacing"/>
        <w:numPr>
          <w:ilvl w:val="1"/>
          <w:numId w:val="11"/>
        </w:numPr>
        <w:ind w:left="709" w:hanging="709"/>
        <w:rPr>
          <w:rFonts w:ascii="Arial" w:hAnsi="Arial" w:cs="Arial"/>
          <w:sz w:val="24"/>
          <w:szCs w:val="24"/>
        </w:rPr>
      </w:pPr>
      <w:r>
        <w:rPr>
          <w:rFonts w:ascii="Arial" w:hAnsi="Arial" w:cs="Arial"/>
          <w:sz w:val="24"/>
          <w:szCs w:val="24"/>
        </w:rPr>
        <w:t xml:space="preserve">A series of wider recommendations were made </w:t>
      </w:r>
      <w:r w:rsidR="00C82958">
        <w:rPr>
          <w:rFonts w:ascii="Arial" w:hAnsi="Arial" w:cs="Arial"/>
          <w:sz w:val="24"/>
          <w:szCs w:val="24"/>
        </w:rPr>
        <w:t xml:space="preserve">and those </w:t>
      </w:r>
      <w:r>
        <w:rPr>
          <w:rFonts w:ascii="Arial" w:hAnsi="Arial" w:cs="Arial"/>
          <w:sz w:val="24"/>
          <w:szCs w:val="24"/>
        </w:rPr>
        <w:t xml:space="preserve">that relate to </w:t>
      </w:r>
      <w:r w:rsidR="00AD4939">
        <w:rPr>
          <w:rFonts w:ascii="Arial" w:hAnsi="Arial" w:cs="Arial"/>
          <w:sz w:val="24"/>
          <w:szCs w:val="24"/>
        </w:rPr>
        <w:t>the accountable body’s responsibilities going forwards includ</w:t>
      </w:r>
      <w:r w:rsidR="00C82958">
        <w:rPr>
          <w:rFonts w:ascii="Arial" w:hAnsi="Arial" w:cs="Arial"/>
          <w:sz w:val="24"/>
          <w:szCs w:val="24"/>
        </w:rPr>
        <w:t>e</w:t>
      </w:r>
      <w:r w:rsidR="00AD4939">
        <w:rPr>
          <w:rFonts w:ascii="Arial" w:hAnsi="Arial" w:cs="Arial"/>
          <w:sz w:val="24"/>
          <w:szCs w:val="24"/>
        </w:rPr>
        <w:t>:</w:t>
      </w:r>
    </w:p>
    <w:p w14:paraId="0CEA986F" w14:textId="77777777" w:rsidR="00EC5FBA" w:rsidRDefault="00EC5FBA" w:rsidP="00EC5FBA">
      <w:pPr>
        <w:pStyle w:val="NoSpacing"/>
        <w:rPr>
          <w:rFonts w:ascii="Arial" w:hAnsi="Arial" w:cs="Arial"/>
          <w:sz w:val="24"/>
          <w:szCs w:val="24"/>
        </w:rPr>
      </w:pPr>
    </w:p>
    <w:p w14:paraId="61FCFD1F" w14:textId="46EDB6AB" w:rsidR="00EC5FBA" w:rsidRDefault="00496241" w:rsidP="00496241">
      <w:pPr>
        <w:pStyle w:val="NoSpacing"/>
        <w:numPr>
          <w:ilvl w:val="0"/>
          <w:numId w:val="5"/>
        </w:numPr>
        <w:rPr>
          <w:rFonts w:ascii="Arial" w:hAnsi="Arial" w:cs="Arial"/>
          <w:sz w:val="24"/>
          <w:szCs w:val="24"/>
        </w:rPr>
      </w:pPr>
      <w:r w:rsidRPr="00496241">
        <w:rPr>
          <w:rFonts w:ascii="Arial" w:hAnsi="Arial" w:cs="Arial"/>
          <w:sz w:val="24"/>
          <w:szCs w:val="24"/>
        </w:rPr>
        <w:t xml:space="preserve">For </w:t>
      </w:r>
      <w:r w:rsidRPr="0084183A">
        <w:rPr>
          <w:rFonts w:ascii="Arial" w:hAnsi="Arial" w:cs="Arial"/>
          <w:b/>
          <w:bCs/>
          <w:sz w:val="24"/>
          <w:szCs w:val="24"/>
        </w:rPr>
        <w:t>transparency</w:t>
      </w:r>
      <w:r>
        <w:rPr>
          <w:rFonts w:ascii="Arial" w:hAnsi="Arial" w:cs="Arial"/>
          <w:sz w:val="24"/>
          <w:szCs w:val="24"/>
        </w:rPr>
        <w:t>,</w:t>
      </w:r>
      <w:r w:rsidRPr="00496241">
        <w:rPr>
          <w:rFonts w:ascii="Arial" w:hAnsi="Arial" w:cs="Arial"/>
          <w:sz w:val="24"/>
          <w:szCs w:val="24"/>
        </w:rPr>
        <w:t xml:space="preserve"> where an interest has been declared, it should be documented whether the conflicted member abstained from voting on any related decisions in accordance with the Board's Code of Conduct. It is also advisable to record conflicts of interest at every meeting, including to document where no conflicts have been raised</w:t>
      </w:r>
      <w:r w:rsidR="00FD7380">
        <w:rPr>
          <w:rFonts w:ascii="Arial" w:hAnsi="Arial" w:cs="Arial"/>
          <w:sz w:val="24"/>
          <w:szCs w:val="24"/>
        </w:rPr>
        <w:t>.</w:t>
      </w:r>
    </w:p>
    <w:p w14:paraId="29EC957A" w14:textId="66E073FE" w:rsidR="00FD7380" w:rsidRDefault="00162E7F" w:rsidP="00496241">
      <w:pPr>
        <w:pStyle w:val="NoSpacing"/>
        <w:numPr>
          <w:ilvl w:val="0"/>
          <w:numId w:val="5"/>
        </w:numPr>
        <w:rPr>
          <w:rFonts w:ascii="Arial" w:hAnsi="Arial" w:cs="Arial"/>
          <w:sz w:val="24"/>
          <w:szCs w:val="24"/>
        </w:rPr>
      </w:pPr>
      <w:r>
        <w:rPr>
          <w:rFonts w:ascii="Arial" w:hAnsi="Arial" w:cs="Arial"/>
          <w:sz w:val="24"/>
          <w:szCs w:val="24"/>
        </w:rPr>
        <w:t>F</w:t>
      </w:r>
      <w:r w:rsidRPr="00162E7F">
        <w:rPr>
          <w:rFonts w:ascii="Arial" w:hAnsi="Arial" w:cs="Arial"/>
          <w:sz w:val="24"/>
          <w:szCs w:val="24"/>
        </w:rPr>
        <w:t>und</w:t>
      </w:r>
      <w:r>
        <w:rPr>
          <w:rFonts w:ascii="Arial" w:hAnsi="Arial" w:cs="Arial"/>
          <w:sz w:val="24"/>
          <w:szCs w:val="24"/>
        </w:rPr>
        <w:t>-</w:t>
      </w:r>
      <w:r w:rsidRPr="00162E7F">
        <w:rPr>
          <w:rFonts w:ascii="Arial" w:hAnsi="Arial" w:cs="Arial"/>
          <w:sz w:val="24"/>
          <w:szCs w:val="24"/>
        </w:rPr>
        <w:t xml:space="preserve">specific risks related to the management and delivery of grant funding received from MHCLG should be assessed and documented in a </w:t>
      </w:r>
      <w:r w:rsidRPr="0084183A">
        <w:rPr>
          <w:rFonts w:ascii="Arial" w:hAnsi="Arial" w:cs="Arial"/>
          <w:b/>
          <w:bCs/>
          <w:sz w:val="24"/>
          <w:szCs w:val="24"/>
        </w:rPr>
        <w:t>risk register</w:t>
      </w:r>
      <w:r w:rsidRPr="00162E7F">
        <w:rPr>
          <w:rFonts w:ascii="Arial" w:hAnsi="Arial" w:cs="Arial"/>
          <w:sz w:val="24"/>
          <w:szCs w:val="24"/>
        </w:rPr>
        <w:t xml:space="preserve"> to ensure the safe administration of grants.</w:t>
      </w:r>
    </w:p>
    <w:p w14:paraId="54EEA5E0" w14:textId="1B2DA763" w:rsidR="00162E7F" w:rsidRDefault="0011510F" w:rsidP="00496241">
      <w:pPr>
        <w:pStyle w:val="NoSpacing"/>
        <w:numPr>
          <w:ilvl w:val="0"/>
          <w:numId w:val="5"/>
        </w:numPr>
        <w:rPr>
          <w:rFonts w:ascii="Arial" w:hAnsi="Arial" w:cs="Arial"/>
          <w:sz w:val="24"/>
          <w:szCs w:val="24"/>
        </w:rPr>
      </w:pPr>
      <w:r w:rsidRPr="0011510F">
        <w:rPr>
          <w:rFonts w:ascii="Arial" w:hAnsi="Arial" w:cs="Arial"/>
          <w:sz w:val="24"/>
          <w:szCs w:val="24"/>
        </w:rPr>
        <w:t xml:space="preserve">Where </w:t>
      </w:r>
      <w:r w:rsidRPr="0084183A">
        <w:rPr>
          <w:rFonts w:ascii="Arial" w:hAnsi="Arial" w:cs="Arial"/>
          <w:b/>
          <w:bCs/>
          <w:sz w:val="24"/>
          <w:szCs w:val="24"/>
        </w:rPr>
        <w:t>procurements</w:t>
      </w:r>
      <w:r w:rsidRPr="0011510F">
        <w:rPr>
          <w:rFonts w:ascii="Arial" w:hAnsi="Arial" w:cs="Arial"/>
          <w:sz w:val="24"/>
          <w:szCs w:val="24"/>
        </w:rPr>
        <w:t xml:space="preserve">, relating to projects funded </w:t>
      </w:r>
      <w:r>
        <w:rPr>
          <w:rFonts w:ascii="Arial" w:hAnsi="Arial" w:cs="Arial"/>
          <w:sz w:val="24"/>
          <w:szCs w:val="24"/>
        </w:rPr>
        <w:t>via MDC</w:t>
      </w:r>
      <w:r w:rsidRPr="0011510F">
        <w:rPr>
          <w:rFonts w:ascii="Arial" w:hAnsi="Arial" w:cs="Arial"/>
          <w:sz w:val="24"/>
          <w:szCs w:val="24"/>
        </w:rPr>
        <w:t xml:space="preserve"> are managed by a third-party, </w:t>
      </w:r>
      <w:r>
        <w:rPr>
          <w:rFonts w:ascii="Arial" w:hAnsi="Arial" w:cs="Arial"/>
          <w:sz w:val="24"/>
          <w:szCs w:val="24"/>
        </w:rPr>
        <w:t xml:space="preserve">MDC </w:t>
      </w:r>
      <w:r w:rsidRPr="0011510F">
        <w:rPr>
          <w:rFonts w:ascii="Arial" w:hAnsi="Arial" w:cs="Arial"/>
          <w:sz w:val="24"/>
          <w:szCs w:val="24"/>
        </w:rPr>
        <w:t xml:space="preserve">should provide effective arrangements to ensure these comply with the requirements of the appropriate public contracts regulations and that </w:t>
      </w:r>
      <w:r w:rsidRPr="0084183A">
        <w:rPr>
          <w:rFonts w:ascii="Arial" w:hAnsi="Arial" w:cs="Arial"/>
          <w:b/>
          <w:bCs/>
          <w:sz w:val="24"/>
          <w:szCs w:val="24"/>
        </w:rPr>
        <w:t>due diligence</w:t>
      </w:r>
      <w:r w:rsidRPr="0011510F">
        <w:rPr>
          <w:rFonts w:ascii="Arial" w:hAnsi="Arial" w:cs="Arial"/>
          <w:sz w:val="24"/>
          <w:szCs w:val="24"/>
        </w:rPr>
        <w:t xml:space="preserve"> is undertaken.</w:t>
      </w:r>
    </w:p>
    <w:p w14:paraId="3C9013E2" w14:textId="4AD24D34" w:rsidR="00D5572E" w:rsidRPr="0080301A" w:rsidRDefault="00A84493" w:rsidP="0080301A">
      <w:pPr>
        <w:pStyle w:val="NoSpacing"/>
        <w:numPr>
          <w:ilvl w:val="0"/>
          <w:numId w:val="5"/>
        </w:numPr>
        <w:rPr>
          <w:rFonts w:ascii="Arial" w:hAnsi="Arial" w:cs="Arial"/>
          <w:sz w:val="24"/>
          <w:szCs w:val="24"/>
        </w:rPr>
      </w:pPr>
      <w:r>
        <w:rPr>
          <w:rFonts w:ascii="Arial" w:hAnsi="Arial" w:cs="Arial"/>
          <w:sz w:val="24"/>
          <w:szCs w:val="24"/>
        </w:rPr>
        <w:t>MDC</w:t>
      </w:r>
      <w:r w:rsidRPr="00A84493">
        <w:rPr>
          <w:rFonts w:ascii="Arial" w:hAnsi="Arial" w:cs="Arial"/>
          <w:sz w:val="24"/>
          <w:szCs w:val="24"/>
        </w:rPr>
        <w:t xml:space="preserve"> strengthen and formalises </w:t>
      </w:r>
      <w:r>
        <w:rPr>
          <w:rFonts w:ascii="Arial" w:hAnsi="Arial" w:cs="Arial"/>
          <w:sz w:val="24"/>
          <w:szCs w:val="24"/>
        </w:rPr>
        <w:t>the</w:t>
      </w:r>
      <w:r w:rsidRPr="00A84493">
        <w:rPr>
          <w:rFonts w:ascii="Arial" w:hAnsi="Arial" w:cs="Arial"/>
          <w:sz w:val="24"/>
          <w:szCs w:val="24"/>
        </w:rPr>
        <w:t xml:space="preserve"> approach to </w:t>
      </w:r>
      <w:r w:rsidRPr="0084183A">
        <w:rPr>
          <w:rFonts w:ascii="Arial" w:hAnsi="Arial" w:cs="Arial"/>
          <w:b/>
          <w:bCs/>
          <w:sz w:val="24"/>
          <w:szCs w:val="24"/>
        </w:rPr>
        <w:t>subsidy control</w:t>
      </w:r>
      <w:r w:rsidRPr="00A84493">
        <w:rPr>
          <w:rFonts w:ascii="Arial" w:hAnsi="Arial" w:cs="Arial"/>
          <w:sz w:val="24"/>
          <w:szCs w:val="24"/>
        </w:rPr>
        <w:t xml:space="preserve"> by ensuring it has effective documented systems in place to review the subsidy control position of each project; consider</w:t>
      </w:r>
      <w:r>
        <w:rPr>
          <w:rFonts w:ascii="Arial" w:hAnsi="Arial" w:cs="Arial"/>
          <w:sz w:val="24"/>
          <w:szCs w:val="24"/>
        </w:rPr>
        <w:t>s</w:t>
      </w:r>
      <w:r w:rsidRPr="00A84493">
        <w:rPr>
          <w:rFonts w:ascii="Arial" w:hAnsi="Arial" w:cs="Arial"/>
          <w:sz w:val="24"/>
          <w:szCs w:val="24"/>
        </w:rPr>
        <w:t xml:space="preserve"> how the position will continue to be monitored throughout delivery, and that any potential subsidy risk identified is managed appropriately and transparently in line with the UK subsidy control regime</w:t>
      </w:r>
      <w:r w:rsidR="00AB2A81">
        <w:rPr>
          <w:rFonts w:ascii="Arial" w:hAnsi="Arial" w:cs="Arial"/>
          <w:sz w:val="24"/>
          <w:szCs w:val="24"/>
        </w:rPr>
        <w:t>.</w:t>
      </w:r>
    </w:p>
    <w:p w14:paraId="32DE68D7" w14:textId="77777777" w:rsidR="00AB2A81" w:rsidRPr="00AB2A81" w:rsidRDefault="00AB2A81" w:rsidP="00AB2A81">
      <w:pPr>
        <w:pStyle w:val="NoSpacing"/>
        <w:rPr>
          <w:rFonts w:ascii="Arial" w:hAnsi="Arial" w:cs="Arial"/>
          <w:sz w:val="24"/>
          <w:szCs w:val="24"/>
        </w:rPr>
      </w:pPr>
    </w:p>
    <w:p w14:paraId="37585198" w14:textId="790050F7" w:rsidR="00AB2A81" w:rsidRDefault="0080301A" w:rsidP="0080301A">
      <w:pPr>
        <w:pStyle w:val="NoSpacing"/>
        <w:ind w:left="720" w:hanging="720"/>
        <w:rPr>
          <w:rFonts w:ascii="Arial" w:hAnsi="Arial" w:cs="Arial"/>
          <w:sz w:val="24"/>
          <w:szCs w:val="24"/>
        </w:rPr>
      </w:pPr>
      <w:r>
        <w:rPr>
          <w:rFonts w:ascii="Arial" w:hAnsi="Arial" w:cs="Arial"/>
          <w:sz w:val="24"/>
          <w:szCs w:val="24"/>
        </w:rPr>
        <w:t>4.5</w:t>
      </w:r>
      <w:r>
        <w:rPr>
          <w:rFonts w:ascii="Arial" w:hAnsi="Arial" w:cs="Arial"/>
          <w:sz w:val="24"/>
          <w:szCs w:val="24"/>
        </w:rPr>
        <w:tab/>
      </w:r>
      <w:r w:rsidR="00FA6043">
        <w:rPr>
          <w:rFonts w:ascii="Arial" w:hAnsi="Arial" w:cs="Arial"/>
          <w:sz w:val="24"/>
          <w:szCs w:val="24"/>
        </w:rPr>
        <w:t>While the audit itself reflects w</w:t>
      </w:r>
      <w:r w:rsidR="00646324">
        <w:rPr>
          <w:rFonts w:ascii="Arial" w:hAnsi="Arial" w:cs="Arial"/>
          <w:sz w:val="24"/>
          <w:szCs w:val="24"/>
        </w:rPr>
        <w:t>e</w:t>
      </w:r>
      <w:r w:rsidR="00FA6043">
        <w:rPr>
          <w:rFonts w:ascii="Arial" w:hAnsi="Arial" w:cs="Arial"/>
          <w:sz w:val="24"/>
          <w:szCs w:val="24"/>
        </w:rPr>
        <w:t>ll on MDC, t</w:t>
      </w:r>
      <w:r w:rsidR="00202D70">
        <w:rPr>
          <w:rFonts w:ascii="Arial" w:hAnsi="Arial" w:cs="Arial"/>
          <w:sz w:val="24"/>
          <w:szCs w:val="24"/>
        </w:rPr>
        <w:t xml:space="preserve">he above </w:t>
      </w:r>
      <w:r w:rsidR="00FA6043">
        <w:rPr>
          <w:rFonts w:ascii="Arial" w:hAnsi="Arial" w:cs="Arial"/>
          <w:sz w:val="24"/>
          <w:szCs w:val="24"/>
        </w:rPr>
        <w:t>considerations</w:t>
      </w:r>
      <w:r w:rsidR="00202D70">
        <w:rPr>
          <w:rFonts w:ascii="Arial" w:hAnsi="Arial" w:cs="Arial"/>
          <w:sz w:val="24"/>
          <w:szCs w:val="24"/>
        </w:rPr>
        <w:t xml:space="preserve"> </w:t>
      </w:r>
      <w:r w:rsidR="00FA6043">
        <w:rPr>
          <w:rFonts w:ascii="Arial" w:hAnsi="Arial" w:cs="Arial"/>
          <w:sz w:val="24"/>
          <w:szCs w:val="24"/>
        </w:rPr>
        <w:t>will ne</w:t>
      </w:r>
      <w:r w:rsidR="00C1311B">
        <w:rPr>
          <w:rFonts w:ascii="Arial" w:hAnsi="Arial" w:cs="Arial"/>
          <w:sz w:val="24"/>
          <w:szCs w:val="24"/>
        </w:rPr>
        <w:t>e</w:t>
      </w:r>
      <w:r w:rsidR="00FA6043">
        <w:rPr>
          <w:rFonts w:ascii="Arial" w:hAnsi="Arial" w:cs="Arial"/>
          <w:sz w:val="24"/>
          <w:szCs w:val="24"/>
        </w:rPr>
        <w:t>d t</w:t>
      </w:r>
      <w:r w:rsidR="00C1311B">
        <w:rPr>
          <w:rFonts w:ascii="Arial" w:hAnsi="Arial" w:cs="Arial"/>
          <w:sz w:val="24"/>
          <w:szCs w:val="24"/>
        </w:rPr>
        <w:t>o</w:t>
      </w:r>
      <w:r w:rsidR="00FA6043">
        <w:rPr>
          <w:rFonts w:ascii="Arial" w:hAnsi="Arial" w:cs="Arial"/>
          <w:sz w:val="24"/>
          <w:szCs w:val="24"/>
        </w:rPr>
        <w:t xml:space="preserve"> be </w:t>
      </w:r>
      <w:r w:rsidR="00C1311B">
        <w:rPr>
          <w:rFonts w:ascii="Arial" w:hAnsi="Arial" w:cs="Arial"/>
          <w:sz w:val="24"/>
          <w:szCs w:val="24"/>
        </w:rPr>
        <w:t>factored</w:t>
      </w:r>
      <w:r w:rsidR="00FA6043">
        <w:rPr>
          <w:rFonts w:ascii="Arial" w:hAnsi="Arial" w:cs="Arial"/>
          <w:sz w:val="24"/>
          <w:szCs w:val="24"/>
        </w:rPr>
        <w:t xml:space="preserve"> into </w:t>
      </w:r>
      <w:r w:rsidR="00C1311B">
        <w:rPr>
          <w:rFonts w:ascii="Arial" w:hAnsi="Arial" w:cs="Arial"/>
          <w:sz w:val="24"/>
          <w:szCs w:val="24"/>
        </w:rPr>
        <w:t xml:space="preserve">future arrangements </w:t>
      </w:r>
      <w:r w:rsidR="00133F43">
        <w:rPr>
          <w:rFonts w:ascii="Arial" w:hAnsi="Arial" w:cs="Arial"/>
          <w:sz w:val="24"/>
          <w:szCs w:val="24"/>
        </w:rPr>
        <w:t xml:space="preserve">including </w:t>
      </w:r>
      <w:r w:rsidR="00BE6986">
        <w:rPr>
          <w:rFonts w:ascii="Arial" w:hAnsi="Arial" w:cs="Arial"/>
          <w:sz w:val="24"/>
          <w:szCs w:val="24"/>
        </w:rPr>
        <w:t xml:space="preserve">the Plan for </w:t>
      </w:r>
      <w:r w:rsidR="00646324">
        <w:rPr>
          <w:rFonts w:ascii="Arial" w:hAnsi="Arial" w:cs="Arial"/>
          <w:sz w:val="24"/>
          <w:szCs w:val="24"/>
        </w:rPr>
        <w:t>N</w:t>
      </w:r>
      <w:r w:rsidR="00BE6986">
        <w:rPr>
          <w:rFonts w:ascii="Arial" w:hAnsi="Arial" w:cs="Arial"/>
          <w:sz w:val="24"/>
          <w:szCs w:val="24"/>
        </w:rPr>
        <w:t>eighbourhoods</w:t>
      </w:r>
      <w:r w:rsidR="007D0301">
        <w:rPr>
          <w:rFonts w:ascii="Arial" w:hAnsi="Arial" w:cs="Arial"/>
          <w:sz w:val="24"/>
          <w:szCs w:val="24"/>
        </w:rPr>
        <w:t xml:space="preserve">.  That includes reflecting on governance in line with the new prospectus </w:t>
      </w:r>
      <w:r w:rsidR="00D71EBF">
        <w:rPr>
          <w:rFonts w:ascii="Arial" w:hAnsi="Arial" w:cs="Arial"/>
          <w:sz w:val="24"/>
          <w:szCs w:val="24"/>
        </w:rPr>
        <w:t>and how</w:t>
      </w:r>
      <w:r w:rsidR="009C0E3B">
        <w:rPr>
          <w:rFonts w:ascii="Arial" w:hAnsi="Arial" w:cs="Arial"/>
          <w:sz w:val="24"/>
          <w:szCs w:val="24"/>
        </w:rPr>
        <w:t xml:space="preserve"> these requirements are embed into the </w:t>
      </w:r>
      <w:r w:rsidR="006350FC">
        <w:rPr>
          <w:rFonts w:ascii="Arial" w:hAnsi="Arial" w:cs="Arial"/>
          <w:sz w:val="24"/>
          <w:szCs w:val="24"/>
        </w:rPr>
        <w:t>process for project development, assessment and approval</w:t>
      </w:r>
      <w:r w:rsidR="00FA2F5E">
        <w:rPr>
          <w:rFonts w:ascii="Arial" w:hAnsi="Arial" w:cs="Arial"/>
          <w:sz w:val="24"/>
          <w:szCs w:val="24"/>
        </w:rPr>
        <w:t>.</w:t>
      </w:r>
      <w:r w:rsidR="006350FC">
        <w:rPr>
          <w:rFonts w:ascii="Arial" w:hAnsi="Arial" w:cs="Arial"/>
          <w:sz w:val="24"/>
          <w:szCs w:val="24"/>
        </w:rPr>
        <w:t xml:space="preserve"> </w:t>
      </w:r>
    </w:p>
    <w:p w14:paraId="0357DD55" w14:textId="05615F2C" w:rsidR="00AB2A81" w:rsidRDefault="00AB2A81" w:rsidP="00AB2A81">
      <w:pPr>
        <w:pStyle w:val="NoSpacing"/>
        <w:rPr>
          <w:rFonts w:ascii="Arial" w:hAnsi="Arial" w:cs="Arial"/>
          <w:sz w:val="24"/>
          <w:szCs w:val="24"/>
        </w:rPr>
      </w:pPr>
    </w:p>
    <w:p w14:paraId="4DE75EDF" w14:textId="6A7355A5" w:rsidR="00AB2A81" w:rsidRPr="006857E2" w:rsidRDefault="00184C6B" w:rsidP="0080301A">
      <w:pPr>
        <w:pStyle w:val="NoSpacing"/>
        <w:numPr>
          <w:ilvl w:val="0"/>
          <w:numId w:val="11"/>
        </w:numPr>
        <w:rPr>
          <w:rFonts w:ascii="Arial" w:hAnsi="Arial" w:cs="Arial"/>
          <w:b/>
          <w:bCs/>
          <w:sz w:val="24"/>
          <w:szCs w:val="24"/>
        </w:rPr>
      </w:pPr>
      <w:r w:rsidRPr="006857E2">
        <w:rPr>
          <w:rFonts w:ascii="Arial" w:hAnsi="Arial" w:cs="Arial"/>
          <w:b/>
          <w:bCs/>
          <w:sz w:val="24"/>
          <w:szCs w:val="24"/>
        </w:rPr>
        <w:t>Rec</w:t>
      </w:r>
      <w:r w:rsidR="006857E2" w:rsidRPr="006857E2">
        <w:rPr>
          <w:rFonts w:ascii="Arial" w:hAnsi="Arial" w:cs="Arial"/>
          <w:b/>
          <w:bCs/>
          <w:sz w:val="24"/>
          <w:szCs w:val="24"/>
        </w:rPr>
        <w:t>ommendation</w:t>
      </w:r>
    </w:p>
    <w:p w14:paraId="7808C902" w14:textId="77777777" w:rsidR="00AB2A81" w:rsidRDefault="00AB2A81" w:rsidP="00AB2A81">
      <w:pPr>
        <w:pStyle w:val="NoSpacing"/>
        <w:rPr>
          <w:rFonts w:ascii="Arial" w:hAnsi="Arial" w:cs="Arial"/>
          <w:sz w:val="24"/>
          <w:szCs w:val="24"/>
        </w:rPr>
      </w:pPr>
    </w:p>
    <w:p w14:paraId="34768E41" w14:textId="5EC3C755" w:rsidR="00446C3C" w:rsidRPr="00AB2A81" w:rsidRDefault="0080301A" w:rsidP="0080301A">
      <w:pPr>
        <w:pStyle w:val="NoSpacing"/>
        <w:ind w:left="720" w:hanging="720"/>
        <w:rPr>
          <w:rFonts w:ascii="Arial" w:hAnsi="Arial" w:cs="Arial"/>
          <w:sz w:val="24"/>
          <w:szCs w:val="24"/>
        </w:rPr>
      </w:pPr>
      <w:r>
        <w:rPr>
          <w:rFonts w:ascii="Arial" w:hAnsi="Arial" w:cs="Arial"/>
          <w:sz w:val="24"/>
          <w:szCs w:val="24"/>
        </w:rPr>
        <w:t>5.1</w:t>
      </w:r>
      <w:r>
        <w:rPr>
          <w:rFonts w:ascii="Arial" w:hAnsi="Arial" w:cs="Arial"/>
          <w:sz w:val="24"/>
          <w:szCs w:val="24"/>
        </w:rPr>
        <w:tab/>
      </w:r>
      <w:r w:rsidR="00387C84">
        <w:rPr>
          <w:rFonts w:ascii="Arial" w:hAnsi="Arial" w:cs="Arial"/>
          <w:sz w:val="24"/>
          <w:szCs w:val="24"/>
        </w:rPr>
        <w:t>It is recommended that t</w:t>
      </w:r>
      <w:r w:rsidR="001409D6" w:rsidRPr="00AB2A81">
        <w:rPr>
          <w:rFonts w:ascii="Arial" w:hAnsi="Arial" w:cs="Arial"/>
          <w:sz w:val="24"/>
          <w:szCs w:val="24"/>
        </w:rPr>
        <w:t>he Board note</w:t>
      </w:r>
      <w:r w:rsidR="00387C84">
        <w:rPr>
          <w:rFonts w:ascii="Arial" w:hAnsi="Arial" w:cs="Arial"/>
          <w:sz w:val="24"/>
          <w:szCs w:val="24"/>
        </w:rPr>
        <w:t>s</w:t>
      </w:r>
      <w:r w:rsidR="001409D6" w:rsidRPr="00AB2A81">
        <w:rPr>
          <w:rFonts w:ascii="Arial" w:hAnsi="Arial" w:cs="Arial"/>
          <w:sz w:val="24"/>
          <w:szCs w:val="24"/>
        </w:rPr>
        <w:t xml:space="preserve"> the recommendations </w:t>
      </w:r>
      <w:r w:rsidR="006848AD">
        <w:rPr>
          <w:rFonts w:ascii="Arial" w:hAnsi="Arial" w:cs="Arial"/>
          <w:sz w:val="24"/>
          <w:szCs w:val="24"/>
        </w:rPr>
        <w:t>arising from the deep dive</w:t>
      </w:r>
      <w:r w:rsidR="000C73C4">
        <w:rPr>
          <w:rFonts w:ascii="Arial" w:hAnsi="Arial" w:cs="Arial"/>
          <w:sz w:val="24"/>
          <w:szCs w:val="24"/>
        </w:rPr>
        <w:t xml:space="preserve">, </w:t>
      </w:r>
      <w:r w:rsidR="001409D6" w:rsidRPr="00AB2A81">
        <w:rPr>
          <w:rFonts w:ascii="Arial" w:hAnsi="Arial" w:cs="Arial"/>
          <w:sz w:val="24"/>
          <w:szCs w:val="24"/>
        </w:rPr>
        <w:t xml:space="preserve">and </w:t>
      </w:r>
      <w:r w:rsidR="000C73C4">
        <w:rPr>
          <w:rFonts w:ascii="Arial" w:hAnsi="Arial" w:cs="Arial"/>
          <w:sz w:val="24"/>
          <w:szCs w:val="24"/>
        </w:rPr>
        <w:t>agree</w:t>
      </w:r>
      <w:r w:rsidR="00387C84">
        <w:rPr>
          <w:rFonts w:ascii="Arial" w:hAnsi="Arial" w:cs="Arial"/>
          <w:sz w:val="24"/>
          <w:szCs w:val="24"/>
        </w:rPr>
        <w:t>s</w:t>
      </w:r>
      <w:r w:rsidR="000C73C4">
        <w:rPr>
          <w:rFonts w:ascii="Arial" w:hAnsi="Arial" w:cs="Arial"/>
          <w:sz w:val="24"/>
          <w:szCs w:val="24"/>
        </w:rPr>
        <w:t xml:space="preserve"> </w:t>
      </w:r>
      <w:r w:rsidR="00851214" w:rsidRPr="00AB2A81">
        <w:rPr>
          <w:rFonts w:ascii="Arial" w:hAnsi="Arial" w:cs="Arial"/>
          <w:sz w:val="24"/>
          <w:szCs w:val="24"/>
        </w:rPr>
        <w:t xml:space="preserve">that </w:t>
      </w:r>
      <w:r w:rsidR="008C1F34" w:rsidRPr="00AB2A81">
        <w:rPr>
          <w:rFonts w:ascii="Arial" w:hAnsi="Arial" w:cs="Arial"/>
          <w:sz w:val="24"/>
          <w:szCs w:val="24"/>
        </w:rPr>
        <w:t>the</w:t>
      </w:r>
      <w:r w:rsidR="000C73C4">
        <w:rPr>
          <w:rFonts w:ascii="Arial" w:hAnsi="Arial" w:cs="Arial"/>
          <w:sz w:val="24"/>
          <w:szCs w:val="24"/>
        </w:rPr>
        <w:t>y</w:t>
      </w:r>
      <w:r w:rsidR="008C1F34" w:rsidRPr="00AB2A81">
        <w:rPr>
          <w:rFonts w:ascii="Arial" w:hAnsi="Arial" w:cs="Arial"/>
          <w:sz w:val="24"/>
          <w:szCs w:val="24"/>
        </w:rPr>
        <w:t xml:space="preserve"> will be factored into the revisions to the governance </w:t>
      </w:r>
      <w:r w:rsidR="00011CE7">
        <w:rPr>
          <w:rFonts w:ascii="Arial" w:hAnsi="Arial" w:cs="Arial"/>
          <w:sz w:val="24"/>
          <w:szCs w:val="24"/>
        </w:rPr>
        <w:t>and project busi</w:t>
      </w:r>
      <w:r w:rsidR="00BA72E6">
        <w:rPr>
          <w:rFonts w:ascii="Arial" w:hAnsi="Arial" w:cs="Arial"/>
          <w:sz w:val="24"/>
          <w:szCs w:val="24"/>
        </w:rPr>
        <w:t>n</w:t>
      </w:r>
      <w:r w:rsidR="00011CE7">
        <w:rPr>
          <w:rFonts w:ascii="Arial" w:hAnsi="Arial" w:cs="Arial"/>
          <w:sz w:val="24"/>
          <w:szCs w:val="24"/>
        </w:rPr>
        <w:t xml:space="preserve">ess </w:t>
      </w:r>
      <w:r w:rsidR="00BA72E6">
        <w:rPr>
          <w:rFonts w:ascii="Arial" w:hAnsi="Arial" w:cs="Arial"/>
          <w:sz w:val="24"/>
          <w:szCs w:val="24"/>
        </w:rPr>
        <w:t>case</w:t>
      </w:r>
      <w:r w:rsidR="00011CE7">
        <w:rPr>
          <w:rFonts w:ascii="Arial" w:hAnsi="Arial" w:cs="Arial"/>
          <w:sz w:val="24"/>
          <w:szCs w:val="24"/>
        </w:rPr>
        <w:t xml:space="preserve"> </w:t>
      </w:r>
      <w:r w:rsidR="00BA72E6">
        <w:rPr>
          <w:rFonts w:ascii="Arial" w:hAnsi="Arial" w:cs="Arial"/>
          <w:sz w:val="24"/>
          <w:szCs w:val="24"/>
        </w:rPr>
        <w:t xml:space="preserve">development </w:t>
      </w:r>
      <w:r w:rsidR="00851214" w:rsidRPr="00AB2A81">
        <w:rPr>
          <w:rFonts w:ascii="Arial" w:hAnsi="Arial" w:cs="Arial"/>
          <w:sz w:val="24"/>
          <w:szCs w:val="24"/>
        </w:rPr>
        <w:t xml:space="preserve">going forwards, most notably </w:t>
      </w:r>
      <w:r w:rsidR="00D32073">
        <w:rPr>
          <w:rFonts w:ascii="Arial" w:hAnsi="Arial" w:cs="Arial"/>
          <w:sz w:val="24"/>
          <w:szCs w:val="24"/>
        </w:rPr>
        <w:t xml:space="preserve">for, and </w:t>
      </w:r>
      <w:r w:rsidR="00851214" w:rsidRPr="00AB2A81">
        <w:rPr>
          <w:rFonts w:ascii="Arial" w:hAnsi="Arial" w:cs="Arial"/>
          <w:sz w:val="24"/>
          <w:szCs w:val="24"/>
        </w:rPr>
        <w:t>in line with</w:t>
      </w:r>
      <w:r w:rsidR="00D32073">
        <w:rPr>
          <w:rFonts w:ascii="Arial" w:hAnsi="Arial" w:cs="Arial"/>
          <w:sz w:val="24"/>
          <w:szCs w:val="24"/>
        </w:rPr>
        <w:t>,</w:t>
      </w:r>
      <w:r w:rsidR="00851214" w:rsidRPr="00AB2A81">
        <w:rPr>
          <w:rFonts w:ascii="Arial" w:hAnsi="Arial" w:cs="Arial"/>
          <w:sz w:val="24"/>
          <w:szCs w:val="24"/>
        </w:rPr>
        <w:t xml:space="preserve"> the </w:t>
      </w:r>
      <w:r w:rsidR="00EC5FBA" w:rsidRPr="00AB2A81">
        <w:rPr>
          <w:rFonts w:ascii="Arial" w:hAnsi="Arial" w:cs="Arial"/>
          <w:sz w:val="24"/>
          <w:szCs w:val="24"/>
        </w:rPr>
        <w:t xml:space="preserve">new Plans for Neighbourhoods programme.  </w:t>
      </w:r>
    </w:p>
    <w:p w14:paraId="705E68B0" w14:textId="77777777" w:rsidR="00EC5FBA" w:rsidRDefault="00EC5FBA" w:rsidP="00EC5FBA">
      <w:pPr>
        <w:pStyle w:val="NoSpacing"/>
        <w:rPr>
          <w:rFonts w:ascii="Arial" w:hAnsi="Arial" w:cs="Arial"/>
          <w:sz w:val="24"/>
          <w:szCs w:val="24"/>
        </w:rPr>
      </w:pPr>
    </w:p>
    <w:p w14:paraId="55C41C08" w14:textId="77777777" w:rsidR="00EC5FBA" w:rsidRDefault="00EC5FBA" w:rsidP="00EC5FBA">
      <w:pPr>
        <w:pStyle w:val="NoSpacing"/>
        <w:rPr>
          <w:rFonts w:ascii="Arial" w:hAnsi="Arial" w:cs="Arial"/>
          <w:sz w:val="24"/>
          <w:szCs w:val="24"/>
        </w:rPr>
      </w:pPr>
    </w:p>
    <w:p w14:paraId="0DCE8A26" w14:textId="646AF2EC" w:rsidR="00214518" w:rsidRPr="00CF13D7" w:rsidRDefault="00446C3C" w:rsidP="00446C3C">
      <w:pPr>
        <w:pStyle w:val="NoSpacing"/>
        <w:rPr>
          <w:rFonts w:ascii="Arial" w:hAnsi="Arial" w:cs="Arial"/>
          <w:sz w:val="24"/>
          <w:szCs w:val="24"/>
        </w:rPr>
      </w:pPr>
      <w:r>
        <w:rPr>
          <w:rFonts w:ascii="Arial" w:hAnsi="Arial" w:cs="Arial"/>
          <w:sz w:val="24"/>
          <w:szCs w:val="24"/>
        </w:rPr>
        <w:t xml:space="preserve"> </w:t>
      </w:r>
    </w:p>
    <w:p w14:paraId="4A7D06A4" w14:textId="77777777" w:rsidR="00FF57D6" w:rsidRPr="00B57900" w:rsidRDefault="00FF57D6" w:rsidP="00FF57D6">
      <w:pPr>
        <w:pStyle w:val="NoSpacing"/>
        <w:rPr>
          <w:rFonts w:ascii="Arial" w:hAnsi="Arial" w:cs="Arial"/>
          <w:sz w:val="24"/>
          <w:szCs w:val="24"/>
        </w:rPr>
      </w:pPr>
    </w:p>
    <w:p w14:paraId="45E00E36" w14:textId="77777777" w:rsidR="0087064C" w:rsidRPr="00B57900" w:rsidRDefault="0087064C" w:rsidP="0087064C">
      <w:pPr>
        <w:pStyle w:val="NoSpacing"/>
        <w:rPr>
          <w:rFonts w:ascii="Arial" w:hAnsi="Arial" w:cs="Arial"/>
          <w:sz w:val="24"/>
          <w:szCs w:val="24"/>
        </w:rPr>
      </w:pPr>
    </w:p>
    <w:sectPr w:rsidR="0087064C" w:rsidRPr="00B5790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8D6C" w14:textId="77777777" w:rsidR="007776B0" w:rsidRDefault="007776B0" w:rsidP="00085401">
      <w:pPr>
        <w:spacing w:after="0" w:line="240" w:lineRule="auto"/>
      </w:pPr>
      <w:r>
        <w:separator/>
      </w:r>
    </w:p>
  </w:endnote>
  <w:endnote w:type="continuationSeparator" w:id="0">
    <w:p w14:paraId="4353F01A" w14:textId="77777777" w:rsidR="007776B0" w:rsidRDefault="007776B0" w:rsidP="0008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21446"/>
      <w:docPartObj>
        <w:docPartGallery w:val="Page Numbers (Bottom of Page)"/>
        <w:docPartUnique/>
      </w:docPartObj>
    </w:sdtPr>
    <w:sdtEndPr>
      <w:rPr>
        <w:rFonts w:ascii="Arial" w:hAnsi="Arial" w:cs="Arial"/>
        <w:noProof/>
        <w:sz w:val="24"/>
        <w:szCs w:val="24"/>
      </w:rPr>
    </w:sdtEndPr>
    <w:sdtContent>
      <w:p w14:paraId="28C4B497" w14:textId="2062B915" w:rsidR="00085401" w:rsidRPr="00085401" w:rsidRDefault="00085401">
        <w:pPr>
          <w:pStyle w:val="Footer"/>
          <w:jc w:val="center"/>
          <w:rPr>
            <w:rFonts w:ascii="Arial" w:hAnsi="Arial" w:cs="Arial"/>
            <w:sz w:val="24"/>
            <w:szCs w:val="24"/>
          </w:rPr>
        </w:pPr>
        <w:r w:rsidRPr="00085401">
          <w:rPr>
            <w:rFonts w:ascii="Arial" w:hAnsi="Arial" w:cs="Arial"/>
            <w:sz w:val="24"/>
            <w:szCs w:val="24"/>
          </w:rPr>
          <w:fldChar w:fldCharType="begin"/>
        </w:r>
        <w:r w:rsidRPr="00085401">
          <w:rPr>
            <w:rFonts w:ascii="Arial" w:hAnsi="Arial" w:cs="Arial"/>
            <w:sz w:val="24"/>
            <w:szCs w:val="24"/>
          </w:rPr>
          <w:instrText xml:space="preserve"> PAGE   \* MERGEFORMAT </w:instrText>
        </w:r>
        <w:r w:rsidRPr="00085401">
          <w:rPr>
            <w:rFonts w:ascii="Arial" w:hAnsi="Arial" w:cs="Arial"/>
            <w:sz w:val="24"/>
            <w:szCs w:val="24"/>
          </w:rPr>
          <w:fldChar w:fldCharType="separate"/>
        </w:r>
        <w:r w:rsidRPr="00085401">
          <w:rPr>
            <w:rFonts w:ascii="Arial" w:hAnsi="Arial" w:cs="Arial"/>
            <w:noProof/>
            <w:sz w:val="24"/>
            <w:szCs w:val="24"/>
          </w:rPr>
          <w:t>2</w:t>
        </w:r>
        <w:r w:rsidRPr="00085401">
          <w:rPr>
            <w:rFonts w:ascii="Arial" w:hAnsi="Arial" w:cs="Arial"/>
            <w:noProof/>
            <w:sz w:val="24"/>
            <w:szCs w:val="24"/>
          </w:rPr>
          <w:fldChar w:fldCharType="end"/>
        </w:r>
      </w:p>
    </w:sdtContent>
  </w:sdt>
  <w:p w14:paraId="5B86B08B" w14:textId="77777777" w:rsidR="00085401" w:rsidRDefault="00085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74A4" w14:textId="77777777" w:rsidR="007776B0" w:rsidRDefault="007776B0" w:rsidP="00085401">
      <w:pPr>
        <w:spacing w:after="0" w:line="240" w:lineRule="auto"/>
      </w:pPr>
      <w:r>
        <w:separator/>
      </w:r>
    </w:p>
  </w:footnote>
  <w:footnote w:type="continuationSeparator" w:id="0">
    <w:p w14:paraId="19CA4309" w14:textId="77777777" w:rsidR="007776B0" w:rsidRDefault="007776B0" w:rsidP="00085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18"/>
    <w:multiLevelType w:val="hybridMultilevel"/>
    <w:tmpl w:val="24A4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34525"/>
    <w:multiLevelType w:val="hybridMultilevel"/>
    <w:tmpl w:val="A2DA2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525F0"/>
    <w:multiLevelType w:val="multilevel"/>
    <w:tmpl w:val="5EE258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B9193C"/>
    <w:multiLevelType w:val="multilevel"/>
    <w:tmpl w:val="2488CA1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961EBC"/>
    <w:multiLevelType w:val="multilevel"/>
    <w:tmpl w:val="8D72EC0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030028"/>
    <w:multiLevelType w:val="hybridMultilevel"/>
    <w:tmpl w:val="C366BD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A352005"/>
    <w:multiLevelType w:val="multilevel"/>
    <w:tmpl w:val="2C98208C"/>
    <w:lvl w:ilvl="0">
      <w:start w:val="4"/>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79D7C4"/>
    <w:multiLevelType w:val="hybridMultilevel"/>
    <w:tmpl w:val="37EE1F0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4CC4F32"/>
    <w:multiLevelType w:val="multilevel"/>
    <w:tmpl w:val="815E5B2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490A49"/>
    <w:multiLevelType w:val="hybridMultilevel"/>
    <w:tmpl w:val="8C949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C3563"/>
    <w:multiLevelType w:val="hybridMultilevel"/>
    <w:tmpl w:val="9742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788118">
    <w:abstractNumId w:val="5"/>
  </w:num>
  <w:num w:numId="2" w16cid:durableId="564031534">
    <w:abstractNumId w:val="7"/>
  </w:num>
  <w:num w:numId="3" w16cid:durableId="71196873">
    <w:abstractNumId w:val="10"/>
  </w:num>
  <w:num w:numId="4" w16cid:durableId="739790542">
    <w:abstractNumId w:val="0"/>
  </w:num>
  <w:num w:numId="5" w16cid:durableId="1666669275">
    <w:abstractNumId w:val="9"/>
  </w:num>
  <w:num w:numId="6" w16cid:durableId="70199570">
    <w:abstractNumId w:val="1"/>
  </w:num>
  <w:num w:numId="7" w16cid:durableId="1739401861">
    <w:abstractNumId w:val="3"/>
  </w:num>
  <w:num w:numId="8" w16cid:durableId="1561598972">
    <w:abstractNumId w:val="8"/>
  </w:num>
  <w:num w:numId="9" w16cid:durableId="1249844152">
    <w:abstractNumId w:val="2"/>
  </w:num>
  <w:num w:numId="10" w16cid:durableId="853374291">
    <w:abstractNumId w:val="4"/>
  </w:num>
  <w:num w:numId="11" w16cid:durableId="114642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4C"/>
    <w:rsid w:val="00011CE7"/>
    <w:rsid w:val="00015DD6"/>
    <w:rsid w:val="000329DA"/>
    <w:rsid w:val="00085401"/>
    <w:rsid w:val="000C73C4"/>
    <w:rsid w:val="000D167F"/>
    <w:rsid w:val="000E127A"/>
    <w:rsid w:val="0011510F"/>
    <w:rsid w:val="00124D90"/>
    <w:rsid w:val="00133F43"/>
    <w:rsid w:val="001409D6"/>
    <w:rsid w:val="00146E7F"/>
    <w:rsid w:val="00162E7F"/>
    <w:rsid w:val="00183FE5"/>
    <w:rsid w:val="00184C6B"/>
    <w:rsid w:val="001974E6"/>
    <w:rsid w:val="001A77B2"/>
    <w:rsid w:val="001B58E2"/>
    <w:rsid w:val="001D4B93"/>
    <w:rsid w:val="001E0501"/>
    <w:rsid w:val="001F13EB"/>
    <w:rsid w:val="00202D70"/>
    <w:rsid w:val="00214518"/>
    <w:rsid w:val="0022609C"/>
    <w:rsid w:val="00255FC0"/>
    <w:rsid w:val="00285B08"/>
    <w:rsid w:val="002B0080"/>
    <w:rsid w:val="002B3376"/>
    <w:rsid w:val="002F0E25"/>
    <w:rsid w:val="00307039"/>
    <w:rsid w:val="003266BF"/>
    <w:rsid w:val="00387C84"/>
    <w:rsid w:val="004049E6"/>
    <w:rsid w:val="00426F4C"/>
    <w:rsid w:val="00440023"/>
    <w:rsid w:val="004452D1"/>
    <w:rsid w:val="00446C3C"/>
    <w:rsid w:val="00470591"/>
    <w:rsid w:val="00496241"/>
    <w:rsid w:val="0054099F"/>
    <w:rsid w:val="00596652"/>
    <w:rsid w:val="00597D36"/>
    <w:rsid w:val="005B2631"/>
    <w:rsid w:val="006350FC"/>
    <w:rsid w:val="00646324"/>
    <w:rsid w:val="00654843"/>
    <w:rsid w:val="006718D7"/>
    <w:rsid w:val="006848AD"/>
    <w:rsid w:val="006857E2"/>
    <w:rsid w:val="00685F5B"/>
    <w:rsid w:val="00697BFA"/>
    <w:rsid w:val="006B706F"/>
    <w:rsid w:val="006D1712"/>
    <w:rsid w:val="006F458F"/>
    <w:rsid w:val="00760F77"/>
    <w:rsid w:val="00765BF1"/>
    <w:rsid w:val="00774A8C"/>
    <w:rsid w:val="007776B0"/>
    <w:rsid w:val="00780E25"/>
    <w:rsid w:val="007A10CB"/>
    <w:rsid w:val="007C325B"/>
    <w:rsid w:val="007D0301"/>
    <w:rsid w:val="007E7AEC"/>
    <w:rsid w:val="0080301A"/>
    <w:rsid w:val="00825053"/>
    <w:rsid w:val="0084183A"/>
    <w:rsid w:val="0084397E"/>
    <w:rsid w:val="00851214"/>
    <w:rsid w:val="0087064C"/>
    <w:rsid w:val="00875BFA"/>
    <w:rsid w:val="008B1ADE"/>
    <w:rsid w:val="008B5165"/>
    <w:rsid w:val="008C1F34"/>
    <w:rsid w:val="008E64C9"/>
    <w:rsid w:val="008F1B32"/>
    <w:rsid w:val="0092214B"/>
    <w:rsid w:val="00922E1C"/>
    <w:rsid w:val="00933BAE"/>
    <w:rsid w:val="00951A35"/>
    <w:rsid w:val="00954F4B"/>
    <w:rsid w:val="00967778"/>
    <w:rsid w:val="0099229F"/>
    <w:rsid w:val="009C0E3B"/>
    <w:rsid w:val="009E359A"/>
    <w:rsid w:val="009F2D93"/>
    <w:rsid w:val="00A01DAF"/>
    <w:rsid w:val="00A204A4"/>
    <w:rsid w:val="00A336ED"/>
    <w:rsid w:val="00A35986"/>
    <w:rsid w:val="00A642D8"/>
    <w:rsid w:val="00A84493"/>
    <w:rsid w:val="00AA79E8"/>
    <w:rsid w:val="00AB2A81"/>
    <w:rsid w:val="00AD0455"/>
    <w:rsid w:val="00AD4939"/>
    <w:rsid w:val="00B009C1"/>
    <w:rsid w:val="00B57900"/>
    <w:rsid w:val="00B607D1"/>
    <w:rsid w:val="00B826B9"/>
    <w:rsid w:val="00BA72E6"/>
    <w:rsid w:val="00BC7F1F"/>
    <w:rsid w:val="00BE6986"/>
    <w:rsid w:val="00C05628"/>
    <w:rsid w:val="00C1311B"/>
    <w:rsid w:val="00C177AE"/>
    <w:rsid w:val="00C82958"/>
    <w:rsid w:val="00CB1E97"/>
    <w:rsid w:val="00CF13D7"/>
    <w:rsid w:val="00D32073"/>
    <w:rsid w:val="00D373D3"/>
    <w:rsid w:val="00D5572E"/>
    <w:rsid w:val="00D66F39"/>
    <w:rsid w:val="00D71EBF"/>
    <w:rsid w:val="00D82187"/>
    <w:rsid w:val="00D844DB"/>
    <w:rsid w:val="00E1475A"/>
    <w:rsid w:val="00E402BF"/>
    <w:rsid w:val="00E6617F"/>
    <w:rsid w:val="00E76334"/>
    <w:rsid w:val="00EB22E6"/>
    <w:rsid w:val="00EC5FBA"/>
    <w:rsid w:val="00EF6E0B"/>
    <w:rsid w:val="00F5068C"/>
    <w:rsid w:val="00F61C84"/>
    <w:rsid w:val="00F87049"/>
    <w:rsid w:val="00F914A7"/>
    <w:rsid w:val="00F96648"/>
    <w:rsid w:val="00FA1D37"/>
    <w:rsid w:val="00FA2F5E"/>
    <w:rsid w:val="00FA6043"/>
    <w:rsid w:val="00FD7380"/>
    <w:rsid w:val="00FF5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5654"/>
  <w15:chartTrackingRefBased/>
  <w15:docId w15:val="{6928F559-1D6F-4B1A-A833-AF64EC1E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6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706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064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7064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7064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70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64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7064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7064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7064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7064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70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64C"/>
    <w:rPr>
      <w:rFonts w:eastAsiaTheme="majorEastAsia" w:cstheme="majorBidi"/>
      <w:color w:val="272727" w:themeColor="text1" w:themeTint="D8"/>
    </w:rPr>
  </w:style>
  <w:style w:type="paragraph" w:styleId="Title">
    <w:name w:val="Title"/>
    <w:basedOn w:val="Normal"/>
    <w:next w:val="Normal"/>
    <w:link w:val="TitleChar"/>
    <w:uiPriority w:val="10"/>
    <w:qFormat/>
    <w:rsid w:val="00870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64C"/>
    <w:pPr>
      <w:spacing w:before="160"/>
      <w:jc w:val="center"/>
    </w:pPr>
    <w:rPr>
      <w:i/>
      <w:iCs/>
      <w:color w:val="404040" w:themeColor="text1" w:themeTint="BF"/>
    </w:rPr>
  </w:style>
  <w:style w:type="character" w:customStyle="1" w:styleId="QuoteChar">
    <w:name w:val="Quote Char"/>
    <w:basedOn w:val="DefaultParagraphFont"/>
    <w:link w:val="Quote"/>
    <w:uiPriority w:val="29"/>
    <w:rsid w:val="0087064C"/>
    <w:rPr>
      <w:i/>
      <w:iCs/>
      <w:color w:val="404040" w:themeColor="text1" w:themeTint="BF"/>
    </w:rPr>
  </w:style>
  <w:style w:type="paragraph" w:styleId="ListParagraph">
    <w:name w:val="List Paragraph"/>
    <w:basedOn w:val="Normal"/>
    <w:uiPriority w:val="34"/>
    <w:qFormat/>
    <w:rsid w:val="0087064C"/>
    <w:pPr>
      <w:ind w:left="720"/>
      <w:contextualSpacing/>
    </w:pPr>
  </w:style>
  <w:style w:type="character" w:styleId="IntenseEmphasis">
    <w:name w:val="Intense Emphasis"/>
    <w:basedOn w:val="DefaultParagraphFont"/>
    <w:uiPriority w:val="21"/>
    <w:qFormat/>
    <w:rsid w:val="0087064C"/>
    <w:rPr>
      <w:i/>
      <w:iCs/>
      <w:color w:val="2E74B5" w:themeColor="accent1" w:themeShade="BF"/>
    </w:rPr>
  </w:style>
  <w:style w:type="paragraph" w:styleId="IntenseQuote">
    <w:name w:val="Intense Quote"/>
    <w:basedOn w:val="Normal"/>
    <w:next w:val="Normal"/>
    <w:link w:val="IntenseQuoteChar"/>
    <w:uiPriority w:val="30"/>
    <w:qFormat/>
    <w:rsid w:val="008706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7064C"/>
    <w:rPr>
      <w:i/>
      <w:iCs/>
      <w:color w:val="2E74B5" w:themeColor="accent1" w:themeShade="BF"/>
    </w:rPr>
  </w:style>
  <w:style w:type="character" w:styleId="IntenseReference">
    <w:name w:val="Intense Reference"/>
    <w:basedOn w:val="DefaultParagraphFont"/>
    <w:uiPriority w:val="32"/>
    <w:qFormat/>
    <w:rsid w:val="0087064C"/>
    <w:rPr>
      <w:b/>
      <w:bCs/>
      <w:smallCaps/>
      <w:color w:val="2E74B5" w:themeColor="accent1" w:themeShade="BF"/>
      <w:spacing w:val="5"/>
    </w:rPr>
  </w:style>
  <w:style w:type="paragraph" w:styleId="NoSpacing">
    <w:name w:val="No Spacing"/>
    <w:uiPriority w:val="1"/>
    <w:qFormat/>
    <w:rsid w:val="0087064C"/>
    <w:pPr>
      <w:spacing w:after="0" w:line="240" w:lineRule="auto"/>
    </w:pPr>
  </w:style>
  <w:style w:type="table" w:styleId="TableGrid">
    <w:name w:val="Table Grid"/>
    <w:basedOn w:val="TableNormal"/>
    <w:uiPriority w:val="39"/>
    <w:rsid w:val="0087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64C"/>
    <w:rPr>
      <w:color w:val="0563C1" w:themeColor="hyperlink"/>
      <w:u w:val="single"/>
    </w:rPr>
  </w:style>
  <w:style w:type="character" w:styleId="UnresolvedMention">
    <w:name w:val="Unresolved Mention"/>
    <w:basedOn w:val="DefaultParagraphFont"/>
    <w:uiPriority w:val="99"/>
    <w:semiHidden/>
    <w:unhideWhenUsed/>
    <w:rsid w:val="0087064C"/>
    <w:rPr>
      <w:color w:val="605E5C"/>
      <w:shd w:val="clear" w:color="auto" w:fill="E1DFDD"/>
    </w:rPr>
  </w:style>
  <w:style w:type="character" w:styleId="FollowedHyperlink">
    <w:name w:val="FollowedHyperlink"/>
    <w:basedOn w:val="DefaultParagraphFont"/>
    <w:uiPriority w:val="99"/>
    <w:semiHidden/>
    <w:unhideWhenUsed/>
    <w:rsid w:val="00825053"/>
    <w:rPr>
      <w:color w:val="954F72" w:themeColor="followedHyperlink"/>
      <w:u w:val="single"/>
    </w:rPr>
  </w:style>
  <w:style w:type="paragraph" w:styleId="Header">
    <w:name w:val="header"/>
    <w:basedOn w:val="Normal"/>
    <w:link w:val="HeaderChar"/>
    <w:uiPriority w:val="99"/>
    <w:unhideWhenUsed/>
    <w:rsid w:val="00085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401"/>
  </w:style>
  <w:style w:type="paragraph" w:styleId="Footer">
    <w:name w:val="footer"/>
    <w:basedOn w:val="Normal"/>
    <w:link w:val="FooterChar"/>
    <w:uiPriority w:val="99"/>
    <w:unhideWhenUsed/>
    <w:rsid w:val="00085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7401">
      <w:bodyDiv w:val="1"/>
      <w:marLeft w:val="0"/>
      <w:marRight w:val="0"/>
      <w:marTop w:val="0"/>
      <w:marBottom w:val="0"/>
      <w:divBdr>
        <w:top w:val="none" w:sz="0" w:space="0" w:color="auto"/>
        <w:left w:val="none" w:sz="0" w:space="0" w:color="auto"/>
        <w:bottom w:val="none" w:sz="0" w:space="0" w:color="auto"/>
        <w:right w:val="none" w:sz="0" w:space="0" w:color="auto"/>
      </w:divBdr>
    </w:div>
    <w:div w:id="790783119">
      <w:bodyDiv w:val="1"/>
      <w:marLeft w:val="0"/>
      <w:marRight w:val="0"/>
      <w:marTop w:val="0"/>
      <w:marBottom w:val="0"/>
      <w:divBdr>
        <w:top w:val="none" w:sz="0" w:space="0" w:color="auto"/>
        <w:left w:val="none" w:sz="0" w:space="0" w:color="auto"/>
        <w:bottom w:val="none" w:sz="0" w:space="0" w:color="auto"/>
        <w:right w:val="none" w:sz="0" w:space="0" w:color="auto"/>
      </w:divBdr>
    </w:div>
    <w:div w:id="1129712749">
      <w:bodyDiv w:val="1"/>
      <w:marLeft w:val="0"/>
      <w:marRight w:val="0"/>
      <w:marTop w:val="0"/>
      <w:marBottom w:val="0"/>
      <w:divBdr>
        <w:top w:val="none" w:sz="0" w:space="0" w:color="auto"/>
        <w:left w:val="none" w:sz="0" w:space="0" w:color="auto"/>
        <w:bottom w:val="none" w:sz="0" w:space="0" w:color="auto"/>
        <w:right w:val="none" w:sz="0" w:space="0" w:color="auto"/>
      </w:divBdr>
    </w:div>
    <w:div w:id="169144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ec1-0-en-ctp.trendmicro.com:443/wis/clicktime/v1/query?url=https%3a%2f%2fwww.gov.uk%2fgovernment%2fpublications%2flevelling%2dup%2dfunds%2dlocal%2dauthority%2dassurance%2dframework%2flevelling%2dup%2dfunds%2dlocal%2dauthority%2dassurance%2dframework&amp;umid=d7c9ef4c-97c9-436b-8251-082739875152&amp;auth=b64fdcf61719d4cd77bdeb222f2dcfd4b2b8abbe-0a88d2254520f5a917aaf54229d9e0a0c0da9714" TargetMode="External"/><Relationship Id="rId3" Type="http://schemas.openxmlformats.org/officeDocument/2006/relationships/settings" Target="settings.xml"/><Relationship Id="rId7" Type="http://schemas.openxmlformats.org/officeDocument/2006/relationships/hyperlink" Target="mailto:ggeorge@mansfiel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1108</Words>
  <Characters>6317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MDC</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George</dc:creator>
  <cp:keywords/>
  <dc:description/>
  <cp:lastModifiedBy>James Biddlestone</cp:lastModifiedBy>
  <cp:revision>2</cp:revision>
  <dcterms:created xsi:type="dcterms:W3CDTF">2025-03-31T18:53:00Z</dcterms:created>
  <dcterms:modified xsi:type="dcterms:W3CDTF">2025-03-31T18:53:00Z</dcterms:modified>
</cp:coreProperties>
</file>