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3B5B" w14:textId="77777777" w:rsidR="00E55EEE" w:rsidRPr="00E55EEE" w:rsidRDefault="00E55EEE" w:rsidP="00E55EEE">
      <w:pPr>
        <w:spacing w:after="0" w:line="240" w:lineRule="auto"/>
        <w:jc w:val="center"/>
        <w:rPr>
          <w:rFonts w:ascii="Arial" w:eastAsia="Aptos" w:hAnsi="Arial" w:cs="Arial"/>
          <w:b/>
          <w:bCs/>
          <w:sz w:val="24"/>
          <w:szCs w:val="24"/>
        </w:rPr>
      </w:pPr>
      <w:r w:rsidRPr="00E55EEE">
        <w:rPr>
          <w:rFonts w:ascii="Arial" w:eastAsia="Aptos" w:hAnsi="Arial" w:cs="Arial"/>
          <w:b/>
          <w:bCs/>
          <w:sz w:val="24"/>
          <w:szCs w:val="24"/>
        </w:rPr>
        <w:t>Mansfield Place Board</w:t>
      </w:r>
    </w:p>
    <w:p w14:paraId="7CA8EE97" w14:textId="77777777" w:rsidR="00E55EEE" w:rsidRPr="00E55EEE" w:rsidRDefault="00E55EEE" w:rsidP="00E55EEE">
      <w:pPr>
        <w:spacing w:after="0" w:line="240" w:lineRule="auto"/>
        <w:jc w:val="center"/>
        <w:rPr>
          <w:rFonts w:ascii="Arial" w:eastAsia="Aptos" w:hAnsi="Arial" w:cs="Arial"/>
          <w:b/>
          <w:bCs/>
          <w:sz w:val="24"/>
          <w:szCs w:val="24"/>
        </w:rPr>
      </w:pPr>
      <w:r w:rsidRPr="00E55EEE">
        <w:rPr>
          <w:rFonts w:ascii="Arial" w:eastAsia="Aptos" w:hAnsi="Arial" w:cs="Arial"/>
          <w:b/>
          <w:bCs/>
          <w:sz w:val="24"/>
          <w:szCs w:val="24"/>
        </w:rPr>
        <w:t>Core Group Meeting</w:t>
      </w:r>
    </w:p>
    <w:p w14:paraId="77D62391" w14:textId="77777777" w:rsidR="00E55EEE" w:rsidRPr="00E55EEE" w:rsidRDefault="00E55EEE" w:rsidP="00E55EEE">
      <w:pPr>
        <w:spacing w:after="0" w:line="240" w:lineRule="auto"/>
        <w:jc w:val="center"/>
        <w:rPr>
          <w:rFonts w:ascii="Arial" w:eastAsia="Aptos" w:hAnsi="Arial" w:cs="Arial"/>
          <w:b/>
          <w:bCs/>
          <w:sz w:val="24"/>
          <w:szCs w:val="24"/>
        </w:rPr>
      </w:pPr>
    </w:p>
    <w:p w14:paraId="6D1F76AC" w14:textId="77777777" w:rsidR="00E55EEE" w:rsidRPr="00E55EEE" w:rsidRDefault="00E55EEE" w:rsidP="00E55EEE">
      <w:pPr>
        <w:spacing w:after="0" w:line="240" w:lineRule="auto"/>
        <w:jc w:val="center"/>
        <w:rPr>
          <w:rFonts w:ascii="Arial" w:eastAsia="Aptos" w:hAnsi="Arial" w:cs="Arial"/>
          <w:b/>
          <w:bCs/>
          <w:sz w:val="24"/>
          <w:szCs w:val="24"/>
        </w:rPr>
      </w:pPr>
      <w:r w:rsidRPr="00E55EEE">
        <w:rPr>
          <w:rFonts w:ascii="Arial" w:eastAsia="Aptos" w:hAnsi="Arial" w:cs="Arial"/>
          <w:b/>
          <w:bCs/>
          <w:sz w:val="24"/>
          <w:szCs w:val="24"/>
        </w:rPr>
        <w:t>3</w:t>
      </w:r>
      <w:r w:rsidRPr="00E55EEE">
        <w:rPr>
          <w:rFonts w:ascii="Arial" w:eastAsia="Aptos" w:hAnsi="Arial" w:cs="Arial"/>
          <w:b/>
          <w:bCs/>
          <w:sz w:val="24"/>
          <w:szCs w:val="24"/>
          <w:vertAlign w:val="superscript"/>
        </w:rPr>
        <w:t>rd</w:t>
      </w:r>
      <w:r w:rsidRPr="00E55EEE">
        <w:rPr>
          <w:rFonts w:ascii="Arial" w:eastAsia="Aptos" w:hAnsi="Arial" w:cs="Arial"/>
          <w:b/>
          <w:bCs/>
          <w:sz w:val="24"/>
          <w:szCs w:val="24"/>
        </w:rPr>
        <w:t xml:space="preserve"> April 2025</w:t>
      </w:r>
    </w:p>
    <w:p w14:paraId="6B188E35" w14:textId="77777777" w:rsidR="00E55EEE" w:rsidRPr="00E55EEE" w:rsidRDefault="00E55EEE" w:rsidP="00E55EEE">
      <w:pPr>
        <w:spacing w:after="0" w:line="240" w:lineRule="auto"/>
        <w:rPr>
          <w:rFonts w:ascii="Arial" w:eastAsia="Aptos" w:hAnsi="Arial" w:cs="Arial"/>
          <w:sz w:val="24"/>
          <w:szCs w:val="24"/>
        </w:rPr>
      </w:pPr>
    </w:p>
    <w:tbl>
      <w:tblPr>
        <w:tblStyle w:val="TableGrid"/>
        <w:tblW w:w="0" w:type="auto"/>
        <w:tblLook w:val="04A0" w:firstRow="1" w:lastRow="0" w:firstColumn="1" w:lastColumn="0" w:noHBand="0" w:noVBand="1"/>
      </w:tblPr>
      <w:tblGrid>
        <w:gridCol w:w="3681"/>
        <w:gridCol w:w="5335"/>
      </w:tblGrid>
      <w:tr w:rsidR="00E55EEE" w:rsidRPr="00E55EEE" w14:paraId="3C3D3FF8" w14:textId="77777777" w:rsidTr="006C6617">
        <w:tc>
          <w:tcPr>
            <w:tcW w:w="3681" w:type="dxa"/>
          </w:tcPr>
          <w:p w14:paraId="28146C7C"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 xml:space="preserve">Agenda Item No. </w:t>
            </w:r>
          </w:p>
        </w:tc>
        <w:tc>
          <w:tcPr>
            <w:tcW w:w="5335" w:type="dxa"/>
          </w:tcPr>
          <w:p w14:paraId="329293CF" w14:textId="77777777" w:rsidR="00E55EEE" w:rsidRPr="00E55EEE" w:rsidRDefault="00E55EEE" w:rsidP="00E55EEE">
            <w:pPr>
              <w:rPr>
                <w:rFonts w:ascii="Arial" w:eastAsia="Aptos" w:hAnsi="Arial" w:cs="Arial"/>
                <w:sz w:val="24"/>
                <w:szCs w:val="24"/>
              </w:rPr>
            </w:pPr>
          </w:p>
        </w:tc>
      </w:tr>
      <w:tr w:rsidR="00E55EEE" w:rsidRPr="00E55EEE" w14:paraId="09300960" w14:textId="77777777" w:rsidTr="006C6617">
        <w:tc>
          <w:tcPr>
            <w:tcW w:w="3681" w:type="dxa"/>
          </w:tcPr>
          <w:p w14:paraId="14CBE9C8"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Presenting Organisation</w:t>
            </w:r>
          </w:p>
        </w:tc>
        <w:tc>
          <w:tcPr>
            <w:tcW w:w="5335" w:type="dxa"/>
          </w:tcPr>
          <w:p w14:paraId="6DD46B94"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Mansfield DC</w:t>
            </w:r>
          </w:p>
        </w:tc>
      </w:tr>
      <w:tr w:rsidR="00E55EEE" w:rsidRPr="00E55EEE" w14:paraId="64626275" w14:textId="77777777" w:rsidTr="006C6617">
        <w:tc>
          <w:tcPr>
            <w:tcW w:w="3681" w:type="dxa"/>
          </w:tcPr>
          <w:p w14:paraId="12E45E0D"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 xml:space="preserve">Report Author and Contact Details </w:t>
            </w:r>
          </w:p>
        </w:tc>
        <w:tc>
          <w:tcPr>
            <w:tcW w:w="5335" w:type="dxa"/>
          </w:tcPr>
          <w:p w14:paraId="5DF8D8B6"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Geoff George, Regeneration Manager</w:t>
            </w:r>
          </w:p>
          <w:p w14:paraId="2E9E9C9A" w14:textId="77777777" w:rsidR="00E55EEE" w:rsidRPr="00E55EEE" w:rsidRDefault="00E55EEE" w:rsidP="00E55EEE">
            <w:pPr>
              <w:rPr>
                <w:rFonts w:ascii="Arial" w:eastAsia="Aptos" w:hAnsi="Arial" w:cs="Arial"/>
                <w:sz w:val="24"/>
                <w:szCs w:val="24"/>
              </w:rPr>
            </w:pPr>
            <w:hyperlink r:id="rId11" w:history="1">
              <w:r w:rsidRPr="00E55EEE">
                <w:rPr>
                  <w:rFonts w:ascii="Arial" w:eastAsia="Aptos" w:hAnsi="Arial" w:cs="Arial"/>
                  <w:color w:val="0563C1"/>
                  <w:sz w:val="24"/>
                  <w:szCs w:val="24"/>
                  <w:u w:val="single"/>
                </w:rPr>
                <w:t>ggeorge@mansfield.gov.uk</w:t>
              </w:r>
            </w:hyperlink>
          </w:p>
          <w:p w14:paraId="15EA9BA9" w14:textId="77777777" w:rsidR="00E55EEE" w:rsidRPr="00E55EEE" w:rsidRDefault="00E55EEE" w:rsidP="00E55EEE">
            <w:pPr>
              <w:rPr>
                <w:rFonts w:ascii="Arial" w:eastAsia="Aptos" w:hAnsi="Arial" w:cs="Arial"/>
                <w:sz w:val="24"/>
                <w:szCs w:val="24"/>
              </w:rPr>
            </w:pPr>
            <w:r w:rsidRPr="00E55EEE">
              <w:rPr>
                <w:rFonts w:ascii="Arial" w:eastAsia="Aptos" w:hAnsi="Arial" w:cs="Arial"/>
                <w:sz w:val="24"/>
                <w:szCs w:val="24"/>
              </w:rPr>
              <w:t>(01623) 463 283</w:t>
            </w:r>
          </w:p>
        </w:tc>
      </w:tr>
    </w:tbl>
    <w:p w14:paraId="2D6807F5" w14:textId="77777777" w:rsidR="00E55EEE" w:rsidRPr="00E55EEE" w:rsidRDefault="00E55EEE" w:rsidP="00E55EEE">
      <w:pPr>
        <w:spacing w:after="0" w:line="240" w:lineRule="auto"/>
        <w:rPr>
          <w:rFonts w:ascii="Arial" w:eastAsia="Aptos" w:hAnsi="Arial" w:cs="Arial"/>
          <w:sz w:val="24"/>
          <w:szCs w:val="24"/>
        </w:rPr>
      </w:pPr>
    </w:p>
    <w:p w14:paraId="0B061999" w14:textId="63F78447" w:rsidR="00E55EEE" w:rsidRPr="00E55EEE" w:rsidRDefault="00E55EEE" w:rsidP="003E0C5E">
      <w:pPr>
        <w:spacing w:after="0" w:line="240" w:lineRule="auto"/>
        <w:jc w:val="center"/>
        <w:rPr>
          <w:rFonts w:ascii="Arial" w:eastAsia="Aptos" w:hAnsi="Arial" w:cs="Arial"/>
          <w:b/>
          <w:bCs/>
          <w:sz w:val="24"/>
          <w:szCs w:val="24"/>
        </w:rPr>
      </w:pPr>
      <w:r w:rsidRPr="00E55EEE">
        <w:rPr>
          <w:rFonts w:ascii="Arial" w:eastAsia="Aptos" w:hAnsi="Arial" w:cs="Arial"/>
          <w:b/>
          <w:bCs/>
          <w:sz w:val="24"/>
          <w:szCs w:val="24"/>
        </w:rPr>
        <w:t xml:space="preserve">Plan for Neighbourhoods – </w:t>
      </w:r>
      <w:r w:rsidR="00D00407">
        <w:rPr>
          <w:rFonts w:ascii="Arial" w:eastAsia="Aptos" w:hAnsi="Arial" w:cs="Arial"/>
          <w:b/>
          <w:bCs/>
          <w:sz w:val="24"/>
          <w:szCs w:val="24"/>
        </w:rPr>
        <w:t>Briefing</w:t>
      </w:r>
      <w:r w:rsidR="007758E5">
        <w:rPr>
          <w:rFonts w:ascii="Arial" w:eastAsia="Aptos" w:hAnsi="Arial" w:cs="Arial"/>
          <w:b/>
          <w:bCs/>
          <w:sz w:val="24"/>
          <w:szCs w:val="24"/>
        </w:rPr>
        <w:t xml:space="preserve"> Note</w:t>
      </w:r>
    </w:p>
    <w:p w14:paraId="0410C306" w14:textId="77777777" w:rsidR="00E55EEE" w:rsidRPr="00E55EEE" w:rsidRDefault="00E55EEE" w:rsidP="00E55EEE">
      <w:pPr>
        <w:spacing w:after="0" w:line="240" w:lineRule="auto"/>
        <w:rPr>
          <w:rFonts w:ascii="Arial" w:eastAsia="Aptos" w:hAnsi="Arial" w:cs="Arial"/>
          <w:sz w:val="24"/>
          <w:szCs w:val="24"/>
        </w:rPr>
      </w:pPr>
    </w:p>
    <w:p w14:paraId="2CFB2EA5" w14:textId="7E88C864" w:rsidR="00254534" w:rsidRDefault="003E0C5E" w:rsidP="00254534">
      <w:pPr>
        <w:spacing w:after="0" w:line="240" w:lineRule="auto"/>
        <w:rPr>
          <w:rFonts w:ascii="Arial" w:eastAsia="Aptos" w:hAnsi="Arial" w:cs="Arial"/>
          <w:b/>
          <w:bCs/>
          <w:sz w:val="24"/>
          <w:szCs w:val="24"/>
        </w:rPr>
      </w:pPr>
      <w:r>
        <w:rPr>
          <w:rFonts w:ascii="Arial" w:eastAsia="Aptos" w:hAnsi="Arial" w:cs="Arial"/>
          <w:b/>
          <w:bCs/>
          <w:sz w:val="24"/>
          <w:szCs w:val="24"/>
        </w:rPr>
        <w:t>1</w:t>
      </w:r>
      <w:r>
        <w:rPr>
          <w:rFonts w:ascii="Arial" w:eastAsia="Aptos" w:hAnsi="Arial" w:cs="Arial"/>
          <w:b/>
          <w:bCs/>
          <w:sz w:val="24"/>
          <w:szCs w:val="24"/>
        </w:rPr>
        <w:tab/>
      </w:r>
      <w:r w:rsidR="00E55EEE" w:rsidRPr="00E55EEE">
        <w:rPr>
          <w:rFonts w:ascii="Arial" w:eastAsia="Aptos" w:hAnsi="Arial" w:cs="Arial"/>
          <w:b/>
          <w:bCs/>
          <w:sz w:val="24"/>
          <w:szCs w:val="24"/>
        </w:rPr>
        <w:t>Purpose of Report</w:t>
      </w:r>
    </w:p>
    <w:p w14:paraId="18CFBDEF" w14:textId="77777777" w:rsidR="00254534" w:rsidRPr="00254534" w:rsidRDefault="00254534" w:rsidP="00254534">
      <w:pPr>
        <w:spacing w:after="0" w:line="240" w:lineRule="auto"/>
        <w:rPr>
          <w:rFonts w:ascii="Arial" w:eastAsia="Aptos" w:hAnsi="Arial" w:cs="Arial"/>
          <w:b/>
          <w:bCs/>
          <w:sz w:val="24"/>
          <w:szCs w:val="24"/>
        </w:rPr>
      </w:pPr>
    </w:p>
    <w:p w14:paraId="67A6A559" w14:textId="4466290D" w:rsidR="006D1042" w:rsidRPr="00254534" w:rsidRDefault="003E0C5E" w:rsidP="003E0C5E">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6D1042" w:rsidRPr="00254534">
        <w:rPr>
          <w:rFonts w:ascii="Arial" w:hAnsi="Arial" w:cs="Arial"/>
          <w:sz w:val="24"/>
          <w:szCs w:val="24"/>
        </w:rPr>
        <w:t xml:space="preserve">To offer the Core Group members an </w:t>
      </w:r>
      <w:r w:rsidR="00254534" w:rsidRPr="00254534">
        <w:rPr>
          <w:rFonts w:ascii="Arial" w:hAnsi="Arial" w:cs="Arial"/>
          <w:sz w:val="24"/>
          <w:szCs w:val="24"/>
        </w:rPr>
        <w:t>overview</w:t>
      </w:r>
      <w:r w:rsidR="006D1042" w:rsidRPr="00254534">
        <w:rPr>
          <w:rFonts w:ascii="Arial" w:hAnsi="Arial" w:cs="Arial"/>
          <w:sz w:val="24"/>
          <w:szCs w:val="24"/>
        </w:rPr>
        <w:t xml:space="preserve"> of the Plan for </w:t>
      </w:r>
      <w:r w:rsidR="00254534" w:rsidRPr="00254534">
        <w:rPr>
          <w:rFonts w:ascii="Arial" w:hAnsi="Arial" w:cs="Arial"/>
          <w:sz w:val="24"/>
          <w:szCs w:val="24"/>
        </w:rPr>
        <w:t>Neighbourhoods</w:t>
      </w:r>
      <w:r w:rsidR="006D1042" w:rsidRPr="00254534">
        <w:rPr>
          <w:rFonts w:ascii="Arial" w:hAnsi="Arial" w:cs="Arial"/>
          <w:sz w:val="24"/>
          <w:szCs w:val="24"/>
        </w:rPr>
        <w:t xml:space="preserve"> </w:t>
      </w:r>
      <w:r w:rsidR="00254534" w:rsidRPr="00254534">
        <w:rPr>
          <w:rFonts w:ascii="Arial" w:hAnsi="Arial" w:cs="Arial"/>
          <w:sz w:val="24"/>
          <w:szCs w:val="24"/>
        </w:rPr>
        <w:t>(</w:t>
      </w:r>
      <w:proofErr w:type="spellStart"/>
      <w:r w:rsidR="00254534" w:rsidRPr="00254534">
        <w:rPr>
          <w:rFonts w:ascii="Arial" w:hAnsi="Arial" w:cs="Arial"/>
          <w:sz w:val="24"/>
          <w:szCs w:val="24"/>
        </w:rPr>
        <w:t>PfN</w:t>
      </w:r>
      <w:proofErr w:type="spellEnd"/>
      <w:r w:rsidR="00254534" w:rsidRPr="00254534">
        <w:rPr>
          <w:rFonts w:ascii="Arial" w:hAnsi="Arial" w:cs="Arial"/>
          <w:sz w:val="24"/>
          <w:szCs w:val="24"/>
        </w:rPr>
        <w:t xml:space="preserve">) </w:t>
      </w:r>
      <w:r w:rsidR="006D1042" w:rsidRPr="00254534">
        <w:rPr>
          <w:rFonts w:ascii="Arial" w:hAnsi="Arial" w:cs="Arial"/>
          <w:sz w:val="24"/>
          <w:szCs w:val="24"/>
        </w:rPr>
        <w:t xml:space="preserve">Prospectus </w:t>
      </w:r>
      <w:r w:rsidR="00254534" w:rsidRPr="00254534">
        <w:rPr>
          <w:rFonts w:ascii="Arial" w:hAnsi="Arial" w:cs="Arial"/>
          <w:sz w:val="24"/>
          <w:szCs w:val="24"/>
        </w:rPr>
        <w:t xml:space="preserve">and the associated </w:t>
      </w:r>
      <w:r w:rsidR="00254534">
        <w:rPr>
          <w:rFonts w:ascii="Arial" w:hAnsi="Arial" w:cs="Arial"/>
          <w:sz w:val="24"/>
          <w:szCs w:val="24"/>
        </w:rPr>
        <w:t>g</w:t>
      </w:r>
      <w:r w:rsidR="00254534" w:rsidRPr="00254534">
        <w:rPr>
          <w:rFonts w:ascii="Arial" w:hAnsi="Arial" w:cs="Arial"/>
          <w:sz w:val="24"/>
          <w:szCs w:val="24"/>
        </w:rPr>
        <w:t>uidance.</w:t>
      </w:r>
    </w:p>
    <w:p w14:paraId="7A265CE5" w14:textId="57FE01BA" w:rsidR="000A5328" w:rsidRPr="00D00407" w:rsidRDefault="003E0C5E" w:rsidP="00D00407">
      <w:pPr>
        <w:rPr>
          <w:rFonts w:ascii="Arial" w:hAnsi="Arial" w:cs="Arial"/>
          <w:sz w:val="24"/>
          <w:szCs w:val="24"/>
        </w:rPr>
      </w:pPr>
      <w:r>
        <w:rPr>
          <w:rFonts w:ascii="Arial" w:hAnsi="Arial" w:cs="Arial"/>
          <w:b/>
          <w:bCs/>
          <w:sz w:val="24"/>
          <w:szCs w:val="24"/>
        </w:rPr>
        <w:t>2</w:t>
      </w:r>
      <w:r>
        <w:rPr>
          <w:rFonts w:ascii="Arial" w:hAnsi="Arial" w:cs="Arial"/>
          <w:b/>
          <w:bCs/>
          <w:sz w:val="24"/>
          <w:szCs w:val="24"/>
        </w:rPr>
        <w:tab/>
      </w:r>
      <w:r w:rsidR="000A5328" w:rsidRPr="00D00407">
        <w:rPr>
          <w:rFonts w:ascii="Arial" w:hAnsi="Arial" w:cs="Arial"/>
          <w:b/>
          <w:bCs/>
          <w:sz w:val="24"/>
          <w:szCs w:val="24"/>
        </w:rPr>
        <w:t>Background</w:t>
      </w:r>
      <w:r w:rsidR="000A5328" w:rsidRPr="00D00407">
        <w:rPr>
          <w:rFonts w:ascii="Arial" w:hAnsi="Arial" w:cs="Arial"/>
          <w:sz w:val="24"/>
          <w:szCs w:val="24"/>
        </w:rPr>
        <w:t xml:space="preserve"> </w:t>
      </w:r>
    </w:p>
    <w:p w14:paraId="0B07CA72" w14:textId="20E94BFC" w:rsidR="000A5328" w:rsidRDefault="003E0C5E" w:rsidP="003E0C5E">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r>
      <w:r w:rsidR="000A5328" w:rsidRPr="000A5328">
        <w:rPr>
          <w:rFonts w:ascii="Arial" w:hAnsi="Arial" w:cs="Arial"/>
          <w:sz w:val="24"/>
          <w:szCs w:val="24"/>
        </w:rPr>
        <w:t>The 'Plan for Neighbourhoods'</w:t>
      </w:r>
      <w:r w:rsidR="00ED0745">
        <w:rPr>
          <w:rFonts w:ascii="Arial" w:hAnsi="Arial" w:cs="Arial"/>
          <w:sz w:val="24"/>
          <w:szCs w:val="24"/>
        </w:rPr>
        <w:t xml:space="preserve"> (</w:t>
      </w:r>
      <w:proofErr w:type="spellStart"/>
      <w:r w:rsidR="00ED0745">
        <w:rPr>
          <w:rFonts w:ascii="Arial" w:hAnsi="Arial" w:cs="Arial"/>
          <w:sz w:val="24"/>
          <w:szCs w:val="24"/>
        </w:rPr>
        <w:t>P</w:t>
      </w:r>
      <w:r w:rsidR="00254534">
        <w:rPr>
          <w:rFonts w:ascii="Arial" w:hAnsi="Arial" w:cs="Arial"/>
          <w:sz w:val="24"/>
          <w:szCs w:val="24"/>
        </w:rPr>
        <w:t>f</w:t>
      </w:r>
      <w:r w:rsidR="00ED0745">
        <w:rPr>
          <w:rFonts w:ascii="Arial" w:hAnsi="Arial" w:cs="Arial"/>
          <w:sz w:val="24"/>
          <w:szCs w:val="24"/>
        </w:rPr>
        <w:t>N</w:t>
      </w:r>
      <w:proofErr w:type="spellEnd"/>
      <w:r w:rsidR="00ED0745">
        <w:rPr>
          <w:rFonts w:ascii="Arial" w:hAnsi="Arial" w:cs="Arial"/>
          <w:sz w:val="24"/>
          <w:szCs w:val="24"/>
        </w:rPr>
        <w:t>)</w:t>
      </w:r>
      <w:r w:rsidR="000A5328" w:rsidRPr="000A5328">
        <w:rPr>
          <w:rFonts w:ascii="Arial" w:hAnsi="Arial" w:cs="Arial"/>
          <w:sz w:val="24"/>
          <w:szCs w:val="24"/>
        </w:rPr>
        <w:t xml:space="preserve"> is a £1.5 billion programme aimed at investing in 75 areas over the next decade. This long-term strategy seeks to address disparities by revitalising communities that have been left behind, ensuring equitable opportunities across the country.</w:t>
      </w:r>
    </w:p>
    <w:p w14:paraId="718D152F" w14:textId="5AEE79CA" w:rsidR="008A5395" w:rsidRDefault="003E0C5E" w:rsidP="003E0C5E">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r>
      <w:r w:rsidR="00ED53A6">
        <w:rPr>
          <w:rFonts w:ascii="Arial" w:hAnsi="Arial" w:cs="Arial"/>
          <w:sz w:val="24"/>
          <w:szCs w:val="24"/>
        </w:rPr>
        <w:t>This is long promise</w:t>
      </w:r>
      <w:r w:rsidR="00365D96">
        <w:rPr>
          <w:rFonts w:ascii="Arial" w:hAnsi="Arial" w:cs="Arial"/>
          <w:sz w:val="24"/>
          <w:szCs w:val="24"/>
        </w:rPr>
        <w:t>d</w:t>
      </w:r>
      <w:r w:rsidR="00ED53A6">
        <w:rPr>
          <w:rFonts w:ascii="Arial" w:hAnsi="Arial" w:cs="Arial"/>
          <w:sz w:val="24"/>
          <w:szCs w:val="24"/>
        </w:rPr>
        <w:t xml:space="preserve"> successor to the Long Term Plan for Towns </w:t>
      </w:r>
      <w:r w:rsidR="00310AA1">
        <w:rPr>
          <w:rFonts w:ascii="Arial" w:hAnsi="Arial" w:cs="Arial"/>
          <w:sz w:val="24"/>
          <w:szCs w:val="24"/>
        </w:rPr>
        <w:t xml:space="preserve">(LTPT) </w:t>
      </w:r>
      <w:r w:rsidR="00ED53A6">
        <w:rPr>
          <w:rFonts w:ascii="Arial" w:hAnsi="Arial" w:cs="Arial"/>
          <w:sz w:val="24"/>
          <w:szCs w:val="24"/>
        </w:rPr>
        <w:t>and marks</w:t>
      </w:r>
      <w:r w:rsidR="00365D96">
        <w:rPr>
          <w:rFonts w:ascii="Arial" w:hAnsi="Arial" w:cs="Arial"/>
          <w:sz w:val="24"/>
          <w:szCs w:val="24"/>
        </w:rPr>
        <w:t xml:space="preserve"> the moment when the new government has placed its mark on the</w:t>
      </w:r>
      <w:r w:rsidR="00834A65">
        <w:rPr>
          <w:rFonts w:ascii="Arial" w:hAnsi="Arial" w:cs="Arial"/>
          <w:sz w:val="24"/>
          <w:szCs w:val="24"/>
        </w:rPr>
        <w:t xml:space="preserve"> </w:t>
      </w:r>
      <w:r w:rsidR="005E64AD">
        <w:rPr>
          <w:rFonts w:ascii="Arial" w:hAnsi="Arial" w:cs="Arial"/>
          <w:sz w:val="24"/>
          <w:szCs w:val="24"/>
        </w:rPr>
        <w:t>programme</w:t>
      </w:r>
      <w:r w:rsidR="00834A65">
        <w:rPr>
          <w:rFonts w:ascii="Arial" w:hAnsi="Arial" w:cs="Arial"/>
          <w:sz w:val="24"/>
          <w:szCs w:val="24"/>
        </w:rPr>
        <w:t xml:space="preserve"> </w:t>
      </w:r>
      <w:r w:rsidR="004C1885">
        <w:rPr>
          <w:rFonts w:ascii="Arial" w:hAnsi="Arial" w:cs="Arial"/>
          <w:sz w:val="24"/>
          <w:szCs w:val="24"/>
        </w:rPr>
        <w:t xml:space="preserve">which it previously confirmed as </w:t>
      </w:r>
      <w:r w:rsidR="00CF51E7">
        <w:rPr>
          <w:rFonts w:ascii="Arial" w:hAnsi="Arial" w:cs="Arial"/>
          <w:sz w:val="24"/>
          <w:szCs w:val="24"/>
        </w:rPr>
        <w:t xml:space="preserve">still </w:t>
      </w:r>
      <w:r w:rsidR="004C1885">
        <w:rPr>
          <w:rFonts w:ascii="Arial" w:hAnsi="Arial" w:cs="Arial"/>
          <w:sz w:val="24"/>
          <w:szCs w:val="24"/>
        </w:rPr>
        <w:t xml:space="preserve">being </w:t>
      </w:r>
      <w:r w:rsidR="00CF51E7">
        <w:rPr>
          <w:rFonts w:ascii="Arial" w:hAnsi="Arial" w:cs="Arial"/>
          <w:sz w:val="24"/>
          <w:szCs w:val="24"/>
        </w:rPr>
        <w:t>available at the Budget in November 2024, subject to a new Prospectus and guidance now received</w:t>
      </w:r>
      <w:r w:rsidR="00BE13EF">
        <w:rPr>
          <w:rFonts w:ascii="Arial" w:hAnsi="Arial" w:cs="Arial"/>
          <w:sz w:val="24"/>
          <w:szCs w:val="24"/>
        </w:rPr>
        <w:t xml:space="preserve"> and can be reviewed </w:t>
      </w:r>
      <w:hyperlink r:id="rId12" w:anchor=":~:text=%E2%80%8B%E2%80%8BThe%20prospectus%20sets,to%20invest%20in%20their%20priorities." w:history="1">
        <w:r w:rsidR="00BE13EF" w:rsidRPr="00130199">
          <w:rPr>
            <w:rStyle w:val="Hyperlink"/>
            <w:rFonts w:ascii="Arial" w:hAnsi="Arial" w:cs="Arial"/>
            <w:sz w:val="24"/>
            <w:szCs w:val="24"/>
          </w:rPr>
          <w:t>here</w:t>
        </w:r>
      </w:hyperlink>
      <w:r w:rsidR="00BE13EF">
        <w:rPr>
          <w:rFonts w:ascii="Arial" w:hAnsi="Arial" w:cs="Arial"/>
          <w:sz w:val="24"/>
          <w:szCs w:val="24"/>
        </w:rPr>
        <w:t>.</w:t>
      </w:r>
    </w:p>
    <w:p w14:paraId="4C13F12E" w14:textId="65286999" w:rsidR="00A426D9" w:rsidRDefault="003E0C5E" w:rsidP="003E0C5E">
      <w:pPr>
        <w:ind w:left="720" w:hanging="720"/>
        <w:rPr>
          <w:rFonts w:ascii="Arial" w:hAnsi="Arial" w:cs="Arial"/>
          <w:sz w:val="24"/>
          <w:szCs w:val="24"/>
        </w:rPr>
      </w:pPr>
      <w:r>
        <w:rPr>
          <w:rFonts w:ascii="Arial" w:hAnsi="Arial" w:cs="Arial"/>
          <w:sz w:val="24"/>
          <w:szCs w:val="24"/>
        </w:rPr>
        <w:t>2.3</w:t>
      </w:r>
      <w:r>
        <w:rPr>
          <w:rFonts w:ascii="Arial" w:hAnsi="Arial" w:cs="Arial"/>
          <w:sz w:val="24"/>
          <w:szCs w:val="24"/>
        </w:rPr>
        <w:tab/>
      </w:r>
      <w:r w:rsidR="00A426D9">
        <w:rPr>
          <w:rFonts w:ascii="Arial" w:hAnsi="Arial" w:cs="Arial"/>
          <w:sz w:val="24"/>
          <w:szCs w:val="24"/>
        </w:rPr>
        <w:t xml:space="preserve">The Prospectus </w:t>
      </w:r>
      <w:r w:rsidR="00B741A1">
        <w:rPr>
          <w:rFonts w:ascii="Arial" w:hAnsi="Arial" w:cs="Arial"/>
          <w:sz w:val="24"/>
          <w:szCs w:val="24"/>
        </w:rPr>
        <w:t xml:space="preserve">includes much of what was in </w:t>
      </w:r>
      <w:r w:rsidR="00D42B26">
        <w:rPr>
          <w:rFonts w:ascii="Arial" w:hAnsi="Arial" w:cs="Arial"/>
          <w:sz w:val="24"/>
          <w:szCs w:val="24"/>
        </w:rPr>
        <w:t>the</w:t>
      </w:r>
      <w:r w:rsidR="00B741A1">
        <w:rPr>
          <w:rFonts w:ascii="Arial" w:hAnsi="Arial" w:cs="Arial"/>
          <w:sz w:val="24"/>
          <w:szCs w:val="24"/>
        </w:rPr>
        <w:t xml:space="preserve"> previous guidance but crucially offers a </w:t>
      </w:r>
      <w:r w:rsidR="00D42B26">
        <w:rPr>
          <w:rFonts w:ascii="Arial" w:hAnsi="Arial" w:cs="Arial"/>
          <w:sz w:val="24"/>
          <w:szCs w:val="24"/>
        </w:rPr>
        <w:t>distinct</w:t>
      </w:r>
      <w:r w:rsidR="00D12CC7">
        <w:rPr>
          <w:rFonts w:ascii="Arial" w:hAnsi="Arial" w:cs="Arial"/>
          <w:sz w:val="24"/>
          <w:szCs w:val="24"/>
        </w:rPr>
        <w:t xml:space="preserve"> shi</w:t>
      </w:r>
      <w:r w:rsidR="00D42B26">
        <w:rPr>
          <w:rFonts w:ascii="Arial" w:hAnsi="Arial" w:cs="Arial"/>
          <w:sz w:val="24"/>
          <w:szCs w:val="24"/>
        </w:rPr>
        <w:t>f</w:t>
      </w:r>
      <w:r w:rsidR="00D12CC7">
        <w:rPr>
          <w:rFonts w:ascii="Arial" w:hAnsi="Arial" w:cs="Arial"/>
          <w:sz w:val="24"/>
          <w:szCs w:val="24"/>
        </w:rPr>
        <w:t xml:space="preserve">t in </w:t>
      </w:r>
      <w:r w:rsidR="00D42B26">
        <w:rPr>
          <w:rFonts w:ascii="Arial" w:hAnsi="Arial" w:cs="Arial"/>
          <w:sz w:val="24"/>
          <w:szCs w:val="24"/>
        </w:rPr>
        <w:t>tone and focus</w:t>
      </w:r>
      <w:r w:rsidR="00A32C5F">
        <w:rPr>
          <w:rFonts w:ascii="Arial" w:hAnsi="Arial" w:cs="Arial"/>
          <w:sz w:val="24"/>
          <w:szCs w:val="24"/>
        </w:rPr>
        <w:t xml:space="preserve"> </w:t>
      </w:r>
      <w:r w:rsidR="008C6159">
        <w:rPr>
          <w:rFonts w:ascii="Arial" w:hAnsi="Arial" w:cs="Arial"/>
          <w:sz w:val="24"/>
          <w:szCs w:val="24"/>
        </w:rPr>
        <w:t>on</w:t>
      </w:r>
      <w:r w:rsidR="00A32C5F">
        <w:rPr>
          <w:rFonts w:ascii="Arial" w:hAnsi="Arial" w:cs="Arial"/>
          <w:sz w:val="24"/>
          <w:szCs w:val="24"/>
        </w:rPr>
        <w:t xml:space="preserve"> its strategic aims.  Importantly too, the prospectus references that specific additional </w:t>
      </w:r>
      <w:r w:rsidR="008C6159">
        <w:rPr>
          <w:rFonts w:ascii="Arial" w:hAnsi="Arial" w:cs="Arial"/>
          <w:sz w:val="24"/>
          <w:szCs w:val="24"/>
        </w:rPr>
        <w:t xml:space="preserve">pieces of </w:t>
      </w:r>
      <w:r w:rsidR="007A7420">
        <w:rPr>
          <w:rFonts w:ascii="Arial" w:hAnsi="Arial" w:cs="Arial"/>
          <w:sz w:val="24"/>
          <w:szCs w:val="24"/>
        </w:rPr>
        <w:t>guidance</w:t>
      </w:r>
      <w:r w:rsidR="008C6159">
        <w:rPr>
          <w:rFonts w:ascii="Arial" w:hAnsi="Arial" w:cs="Arial"/>
          <w:sz w:val="24"/>
          <w:szCs w:val="24"/>
        </w:rPr>
        <w:t xml:space="preserve"> are awaited</w:t>
      </w:r>
      <w:r w:rsidR="007A7420">
        <w:rPr>
          <w:rFonts w:ascii="Arial" w:hAnsi="Arial" w:cs="Arial"/>
          <w:sz w:val="24"/>
          <w:szCs w:val="24"/>
        </w:rPr>
        <w:t>.</w:t>
      </w:r>
    </w:p>
    <w:p w14:paraId="2A507594" w14:textId="6B469479" w:rsidR="00515724" w:rsidRPr="000A5328" w:rsidRDefault="003E0C5E" w:rsidP="003E0C5E">
      <w:pPr>
        <w:ind w:left="720" w:hanging="720"/>
        <w:rPr>
          <w:rFonts w:ascii="Arial" w:hAnsi="Arial" w:cs="Arial"/>
          <w:sz w:val="24"/>
          <w:szCs w:val="24"/>
        </w:rPr>
      </w:pPr>
      <w:r>
        <w:rPr>
          <w:rFonts w:ascii="Arial" w:hAnsi="Arial" w:cs="Arial"/>
          <w:sz w:val="24"/>
          <w:szCs w:val="24"/>
        </w:rPr>
        <w:t>2.4</w:t>
      </w:r>
      <w:r>
        <w:rPr>
          <w:rFonts w:ascii="Arial" w:hAnsi="Arial" w:cs="Arial"/>
          <w:sz w:val="24"/>
          <w:szCs w:val="24"/>
        </w:rPr>
        <w:tab/>
      </w:r>
      <w:r w:rsidR="00515724">
        <w:rPr>
          <w:rFonts w:ascii="Arial" w:hAnsi="Arial" w:cs="Arial"/>
          <w:sz w:val="24"/>
          <w:szCs w:val="24"/>
        </w:rPr>
        <w:t>This briefing focuses on the main content</w:t>
      </w:r>
      <w:r w:rsidR="00DC47CB">
        <w:rPr>
          <w:rFonts w:ascii="Arial" w:hAnsi="Arial" w:cs="Arial"/>
          <w:sz w:val="24"/>
          <w:szCs w:val="24"/>
        </w:rPr>
        <w:t>;</w:t>
      </w:r>
      <w:r w:rsidR="00515724">
        <w:rPr>
          <w:rFonts w:ascii="Arial" w:hAnsi="Arial" w:cs="Arial"/>
          <w:sz w:val="24"/>
          <w:szCs w:val="24"/>
        </w:rPr>
        <w:t xml:space="preserve"> the key dates and timeline</w:t>
      </w:r>
      <w:r w:rsidR="00DC47CB">
        <w:rPr>
          <w:rFonts w:ascii="Arial" w:hAnsi="Arial" w:cs="Arial"/>
          <w:sz w:val="24"/>
          <w:szCs w:val="24"/>
        </w:rPr>
        <w:t xml:space="preserve"> and offers a commentary on what are </w:t>
      </w:r>
      <w:r w:rsidR="00515724">
        <w:rPr>
          <w:rFonts w:ascii="Arial" w:hAnsi="Arial" w:cs="Arial"/>
          <w:sz w:val="24"/>
          <w:szCs w:val="24"/>
        </w:rPr>
        <w:t xml:space="preserve">considered to be the key expectations and issues to review. </w:t>
      </w:r>
    </w:p>
    <w:p w14:paraId="01D608A6" w14:textId="5353A4B7" w:rsidR="000A5328" w:rsidRPr="00254534" w:rsidRDefault="003E0C5E" w:rsidP="00254534">
      <w:pPr>
        <w:rPr>
          <w:rFonts w:ascii="Arial" w:hAnsi="Arial" w:cs="Arial"/>
          <w:sz w:val="24"/>
          <w:szCs w:val="24"/>
        </w:rPr>
      </w:pPr>
      <w:r>
        <w:rPr>
          <w:rFonts w:ascii="Arial" w:hAnsi="Arial" w:cs="Arial"/>
          <w:b/>
          <w:bCs/>
          <w:sz w:val="24"/>
          <w:szCs w:val="24"/>
        </w:rPr>
        <w:t>3</w:t>
      </w:r>
      <w:r>
        <w:rPr>
          <w:rFonts w:ascii="Arial" w:hAnsi="Arial" w:cs="Arial"/>
          <w:b/>
          <w:bCs/>
          <w:sz w:val="24"/>
          <w:szCs w:val="24"/>
        </w:rPr>
        <w:tab/>
      </w:r>
      <w:r w:rsidR="000A5328" w:rsidRPr="00254534">
        <w:rPr>
          <w:rFonts w:ascii="Arial" w:hAnsi="Arial" w:cs="Arial"/>
          <w:b/>
          <w:bCs/>
          <w:sz w:val="24"/>
          <w:szCs w:val="24"/>
        </w:rPr>
        <w:t>Key Components</w:t>
      </w:r>
    </w:p>
    <w:p w14:paraId="0B16756A" w14:textId="10D72B89" w:rsidR="000A5328" w:rsidRPr="00254534" w:rsidRDefault="003E0C5E" w:rsidP="007A7420">
      <w:pPr>
        <w:rPr>
          <w:rFonts w:ascii="Arial" w:hAnsi="Arial" w:cs="Arial"/>
          <w:sz w:val="24"/>
          <w:szCs w:val="24"/>
        </w:rPr>
      </w:pPr>
      <w:r>
        <w:rPr>
          <w:rFonts w:ascii="Arial" w:hAnsi="Arial" w:cs="Arial"/>
          <w:sz w:val="24"/>
          <w:szCs w:val="24"/>
        </w:rPr>
        <w:t>3.1</w:t>
      </w:r>
      <w:r>
        <w:rPr>
          <w:rFonts w:ascii="Arial" w:hAnsi="Arial" w:cs="Arial"/>
          <w:sz w:val="24"/>
          <w:szCs w:val="24"/>
        </w:rPr>
        <w:tab/>
      </w:r>
      <w:r w:rsidR="000A5328" w:rsidRPr="00254534">
        <w:rPr>
          <w:rFonts w:ascii="Arial" w:hAnsi="Arial" w:cs="Arial"/>
          <w:sz w:val="24"/>
          <w:szCs w:val="24"/>
        </w:rPr>
        <w:t>Funding Allocation</w:t>
      </w:r>
    </w:p>
    <w:p w14:paraId="058CCD14" w14:textId="310CDA67" w:rsidR="00704481" w:rsidRDefault="000A5328" w:rsidP="00704481">
      <w:pPr>
        <w:pStyle w:val="ListParagraph"/>
        <w:numPr>
          <w:ilvl w:val="0"/>
          <w:numId w:val="7"/>
        </w:numPr>
        <w:rPr>
          <w:rFonts w:ascii="Arial" w:hAnsi="Arial" w:cs="Arial"/>
          <w:sz w:val="24"/>
          <w:szCs w:val="24"/>
        </w:rPr>
      </w:pPr>
      <w:r w:rsidRPr="003E7535">
        <w:rPr>
          <w:rFonts w:ascii="Arial" w:hAnsi="Arial" w:cs="Arial"/>
          <w:sz w:val="24"/>
          <w:szCs w:val="24"/>
        </w:rPr>
        <w:t>Up to £20 million allocated to each of the 75 selected areas</w:t>
      </w:r>
      <w:r w:rsidR="00AE1D53">
        <w:rPr>
          <w:rFonts w:ascii="Arial" w:hAnsi="Arial" w:cs="Arial"/>
          <w:sz w:val="24"/>
          <w:szCs w:val="24"/>
        </w:rPr>
        <w:t xml:space="preserve"> over 10 years</w:t>
      </w:r>
      <w:r w:rsidRPr="003E7535">
        <w:rPr>
          <w:rFonts w:ascii="Arial" w:hAnsi="Arial" w:cs="Arial"/>
          <w:sz w:val="24"/>
          <w:szCs w:val="24"/>
        </w:rPr>
        <w:t>.</w:t>
      </w:r>
      <w:r w:rsidR="003E7535">
        <w:rPr>
          <w:rFonts w:ascii="Arial" w:hAnsi="Arial" w:cs="Arial"/>
          <w:sz w:val="24"/>
          <w:szCs w:val="24"/>
        </w:rPr>
        <w:t xml:space="preserve">  In effect, </w:t>
      </w:r>
      <w:r w:rsidR="00DE613E">
        <w:rPr>
          <w:rFonts w:ascii="Arial" w:hAnsi="Arial" w:cs="Arial"/>
          <w:sz w:val="24"/>
          <w:szCs w:val="24"/>
        </w:rPr>
        <w:t>this wi</w:t>
      </w:r>
      <w:r w:rsidR="00AE1D53">
        <w:rPr>
          <w:rFonts w:ascii="Arial" w:hAnsi="Arial" w:cs="Arial"/>
          <w:sz w:val="24"/>
          <w:szCs w:val="24"/>
        </w:rPr>
        <w:t>ll mean</w:t>
      </w:r>
      <w:r w:rsidR="00DE613E">
        <w:rPr>
          <w:rFonts w:ascii="Arial" w:hAnsi="Arial" w:cs="Arial"/>
          <w:sz w:val="24"/>
          <w:szCs w:val="24"/>
        </w:rPr>
        <w:t xml:space="preserve"> £19.537M</w:t>
      </w:r>
      <w:r w:rsidR="00AE1D53">
        <w:rPr>
          <w:rFonts w:ascii="Arial" w:hAnsi="Arial" w:cs="Arial"/>
          <w:sz w:val="24"/>
          <w:szCs w:val="24"/>
        </w:rPr>
        <w:t xml:space="preserve"> in total, broken down as follows:</w:t>
      </w:r>
    </w:p>
    <w:p w14:paraId="2FF9F964" w14:textId="4EA56376" w:rsidR="00AE1D53" w:rsidRDefault="00D96ADB" w:rsidP="00AE1D53">
      <w:pPr>
        <w:pStyle w:val="ListParagraph"/>
        <w:numPr>
          <w:ilvl w:val="1"/>
          <w:numId w:val="7"/>
        </w:numPr>
        <w:rPr>
          <w:rFonts w:ascii="Arial" w:hAnsi="Arial" w:cs="Arial"/>
          <w:sz w:val="24"/>
          <w:szCs w:val="24"/>
        </w:rPr>
      </w:pPr>
      <w:r>
        <w:rPr>
          <w:rFonts w:ascii="Arial" w:hAnsi="Arial" w:cs="Arial"/>
          <w:sz w:val="24"/>
          <w:szCs w:val="24"/>
        </w:rPr>
        <w:t>£</w:t>
      </w:r>
      <w:r w:rsidR="009C13B0">
        <w:rPr>
          <w:rFonts w:ascii="Arial" w:hAnsi="Arial" w:cs="Arial"/>
          <w:sz w:val="24"/>
          <w:szCs w:val="24"/>
        </w:rPr>
        <w:t>3.99M revenue</w:t>
      </w:r>
    </w:p>
    <w:p w14:paraId="36CDF87E" w14:textId="488DA0B1" w:rsidR="009C13B0" w:rsidRDefault="009C13B0" w:rsidP="00AE1D53">
      <w:pPr>
        <w:pStyle w:val="ListParagraph"/>
        <w:numPr>
          <w:ilvl w:val="1"/>
          <w:numId w:val="7"/>
        </w:numPr>
        <w:rPr>
          <w:rFonts w:ascii="Arial" w:hAnsi="Arial" w:cs="Arial"/>
          <w:sz w:val="24"/>
          <w:szCs w:val="24"/>
        </w:rPr>
      </w:pPr>
      <w:r>
        <w:rPr>
          <w:rFonts w:ascii="Arial" w:hAnsi="Arial" w:cs="Arial"/>
          <w:sz w:val="24"/>
          <w:szCs w:val="24"/>
        </w:rPr>
        <w:t>£14.936M capital</w:t>
      </w:r>
    </w:p>
    <w:p w14:paraId="38C461CD" w14:textId="4CA9F9F4" w:rsidR="009C13B0" w:rsidRDefault="00836106" w:rsidP="00AE1D53">
      <w:pPr>
        <w:pStyle w:val="ListParagraph"/>
        <w:numPr>
          <w:ilvl w:val="1"/>
          <w:numId w:val="7"/>
        </w:numPr>
        <w:rPr>
          <w:rFonts w:ascii="Arial" w:hAnsi="Arial" w:cs="Arial"/>
          <w:sz w:val="24"/>
          <w:szCs w:val="24"/>
        </w:rPr>
      </w:pPr>
      <w:r>
        <w:rPr>
          <w:rFonts w:ascii="Arial" w:hAnsi="Arial" w:cs="Arial"/>
          <w:sz w:val="24"/>
          <w:szCs w:val="24"/>
        </w:rPr>
        <w:t>£600,000 (revenue) capacity funding</w:t>
      </w:r>
      <w:r w:rsidR="00AC5B30">
        <w:rPr>
          <w:rFonts w:ascii="Arial" w:hAnsi="Arial" w:cs="Arial"/>
          <w:sz w:val="24"/>
          <w:szCs w:val="24"/>
        </w:rPr>
        <w:t xml:space="preserve"> of which £250k has already been released under the previous </w:t>
      </w:r>
      <w:r w:rsidR="00310AA1">
        <w:rPr>
          <w:rFonts w:ascii="Arial" w:hAnsi="Arial" w:cs="Arial"/>
          <w:sz w:val="24"/>
          <w:szCs w:val="24"/>
        </w:rPr>
        <w:t xml:space="preserve">LTPT </w:t>
      </w:r>
      <w:r w:rsidR="00AC5B30">
        <w:rPr>
          <w:rFonts w:ascii="Arial" w:hAnsi="Arial" w:cs="Arial"/>
          <w:sz w:val="24"/>
          <w:szCs w:val="24"/>
        </w:rPr>
        <w:t>programme</w:t>
      </w:r>
      <w:r w:rsidR="008853EB">
        <w:rPr>
          <w:rFonts w:ascii="Arial" w:hAnsi="Arial" w:cs="Arial"/>
          <w:sz w:val="24"/>
          <w:szCs w:val="24"/>
        </w:rPr>
        <w:t xml:space="preserve">, with an </w:t>
      </w:r>
      <w:r w:rsidR="008853EB">
        <w:rPr>
          <w:rFonts w:ascii="Arial" w:hAnsi="Arial" w:cs="Arial"/>
          <w:sz w:val="24"/>
          <w:szCs w:val="24"/>
        </w:rPr>
        <w:lastRenderedPageBreak/>
        <w:t xml:space="preserve">additional </w:t>
      </w:r>
      <w:r w:rsidR="00CA09D4">
        <w:rPr>
          <w:rFonts w:ascii="Arial" w:hAnsi="Arial" w:cs="Arial"/>
          <w:sz w:val="24"/>
          <w:szCs w:val="24"/>
        </w:rPr>
        <w:t xml:space="preserve">£350k referenced as available in 2025/26 </w:t>
      </w:r>
      <w:r w:rsidR="00515106">
        <w:rPr>
          <w:rFonts w:ascii="Arial" w:hAnsi="Arial" w:cs="Arial"/>
          <w:sz w:val="24"/>
          <w:szCs w:val="24"/>
        </w:rPr>
        <w:t>and £150k in 2026/27</w:t>
      </w:r>
      <w:r w:rsidR="003E0C5E">
        <w:rPr>
          <w:rFonts w:ascii="Arial" w:hAnsi="Arial" w:cs="Arial"/>
          <w:sz w:val="24"/>
          <w:szCs w:val="24"/>
        </w:rPr>
        <w:t>.</w:t>
      </w:r>
    </w:p>
    <w:p w14:paraId="6F4561A1" w14:textId="78E8DC66" w:rsidR="000A5328" w:rsidRDefault="005230AD" w:rsidP="00704481">
      <w:pPr>
        <w:pStyle w:val="ListParagraph"/>
        <w:numPr>
          <w:ilvl w:val="0"/>
          <w:numId w:val="7"/>
        </w:numPr>
        <w:rPr>
          <w:rFonts w:ascii="Arial" w:hAnsi="Arial" w:cs="Arial"/>
          <w:sz w:val="24"/>
          <w:szCs w:val="24"/>
        </w:rPr>
      </w:pPr>
      <w:r>
        <w:rPr>
          <w:rFonts w:ascii="Arial" w:hAnsi="Arial" w:cs="Arial"/>
          <w:sz w:val="24"/>
          <w:szCs w:val="24"/>
        </w:rPr>
        <w:t xml:space="preserve">This confirms that the split of grant is 75% </w:t>
      </w:r>
      <w:r w:rsidR="00CA619B">
        <w:rPr>
          <w:rFonts w:ascii="Arial" w:hAnsi="Arial" w:cs="Arial"/>
          <w:sz w:val="24"/>
          <w:szCs w:val="24"/>
        </w:rPr>
        <w:t>capital,</w:t>
      </w:r>
      <w:r>
        <w:rPr>
          <w:rFonts w:ascii="Arial" w:hAnsi="Arial" w:cs="Arial"/>
          <w:sz w:val="24"/>
          <w:szCs w:val="24"/>
        </w:rPr>
        <w:t xml:space="preserve"> and 25% revenue as previously referenced</w:t>
      </w:r>
      <w:r w:rsidR="00CA619B">
        <w:rPr>
          <w:rFonts w:ascii="Arial" w:hAnsi="Arial" w:cs="Arial"/>
          <w:sz w:val="24"/>
          <w:szCs w:val="24"/>
        </w:rPr>
        <w:t>.</w:t>
      </w:r>
    </w:p>
    <w:p w14:paraId="240F5B2D" w14:textId="790EF4AA" w:rsidR="00CA619B" w:rsidRDefault="00CA619B" w:rsidP="00704481">
      <w:pPr>
        <w:pStyle w:val="ListParagraph"/>
        <w:numPr>
          <w:ilvl w:val="0"/>
          <w:numId w:val="7"/>
        </w:numPr>
        <w:rPr>
          <w:rFonts w:ascii="Arial" w:hAnsi="Arial" w:cs="Arial"/>
          <w:sz w:val="24"/>
          <w:szCs w:val="24"/>
        </w:rPr>
      </w:pPr>
      <w:r>
        <w:rPr>
          <w:rFonts w:ascii="Arial" w:hAnsi="Arial" w:cs="Arial"/>
          <w:sz w:val="24"/>
          <w:szCs w:val="24"/>
        </w:rPr>
        <w:t>While the allocation will be released in phases over</w:t>
      </w:r>
      <w:r w:rsidR="00155EF8">
        <w:rPr>
          <w:rFonts w:ascii="Arial" w:hAnsi="Arial" w:cs="Arial"/>
          <w:sz w:val="24"/>
          <w:szCs w:val="24"/>
        </w:rPr>
        <w:t xml:space="preserve"> </w:t>
      </w:r>
      <w:r>
        <w:rPr>
          <w:rFonts w:ascii="Arial" w:hAnsi="Arial" w:cs="Arial"/>
          <w:sz w:val="24"/>
          <w:szCs w:val="24"/>
        </w:rPr>
        <w:t xml:space="preserve">the duration, </w:t>
      </w:r>
      <w:r w:rsidR="00155EF8">
        <w:rPr>
          <w:rFonts w:ascii="Arial" w:hAnsi="Arial" w:cs="Arial"/>
          <w:sz w:val="24"/>
          <w:szCs w:val="24"/>
        </w:rPr>
        <w:t>flexibility is offered by for example, the ability to borrow against future grant, assuming the costs of borrowing can also be met.</w:t>
      </w:r>
    </w:p>
    <w:p w14:paraId="336167C2" w14:textId="54734C75" w:rsidR="00515106" w:rsidRDefault="0023274C" w:rsidP="003E0C5E">
      <w:pPr>
        <w:pStyle w:val="ListParagraph"/>
        <w:numPr>
          <w:ilvl w:val="0"/>
          <w:numId w:val="7"/>
        </w:numPr>
        <w:spacing w:after="0"/>
        <w:rPr>
          <w:rFonts w:ascii="Arial" w:hAnsi="Arial" w:cs="Arial"/>
          <w:sz w:val="24"/>
          <w:szCs w:val="24"/>
        </w:rPr>
      </w:pPr>
      <w:r>
        <w:rPr>
          <w:rFonts w:ascii="Arial" w:hAnsi="Arial" w:cs="Arial"/>
          <w:sz w:val="24"/>
          <w:szCs w:val="24"/>
        </w:rPr>
        <w:t xml:space="preserve">Actual grant will not be available until 2026/27 financial </w:t>
      </w:r>
      <w:r w:rsidR="00601D45">
        <w:rPr>
          <w:rFonts w:ascii="Arial" w:hAnsi="Arial" w:cs="Arial"/>
          <w:sz w:val="24"/>
          <w:szCs w:val="24"/>
        </w:rPr>
        <w:t>year but</w:t>
      </w:r>
      <w:r w:rsidR="005C5C33">
        <w:rPr>
          <w:rFonts w:ascii="Arial" w:hAnsi="Arial" w:cs="Arial"/>
          <w:sz w:val="24"/>
          <w:szCs w:val="24"/>
        </w:rPr>
        <w:t xml:space="preserve"> note the flexibility as reference above. </w:t>
      </w:r>
    </w:p>
    <w:p w14:paraId="53BF4DBB" w14:textId="458E7513" w:rsidR="000A5328" w:rsidRPr="00AA4DAC" w:rsidRDefault="003E0C5E" w:rsidP="003E0C5E">
      <w:pPr>
        <w:spacing w:before="240"/>
        <w:rPr>
          <w:rFonts w:ascii="Arial" w:hAnsi="Arial" w:cs="Arial"/>
          <w:sz w:val="24"/>
          <w:szCs w:val="24"/>
        </w:rPr>
      </w:pPr>
      <w:r>
        <w:rPr>
          <w:rFonts w:ascii="Arial" w:hAnsi="Arial" w:cs="Arial"/>
          <w:b/>
          <w:bCs/>
          <w:sz w:val="24"/>
          <w:szCs w:val="24"/>
        </w:rPr>
        <w:t>4</w:t>
      </w:r>
      <w:r>
        <w:rPr>
          <w:rFonts w:ascii="Arial" w:hAnsi="Arial" w:cs="Arial"/>
          <w:b/>
          <w:bCs/>
          <w:sz w:val="24"/>
          <w:szCs w:val="24"/>
        </w:rPr>
        <w:tab/>
      </w:r>
      <w:r w:rsidR="000A5328" w:rsidRPr="00AA4DAC">
        <w:rPr>
          <w:rFonts w:ascii="Arial" w:hAnsi="Arial" w:cs="Arial"/>
          <w:b/>
          <w:bCs/>
          <w:sz w:val="24"/>
          <w:szCs w:val="24"/>
        </w:rPr>
        <w:t>Programme Objectives</w:t>
      </w:r>
    </w:p>
    <w:p w14:paraId="2BCA23A1" w14:textId="54181012" w:rsidR="00D154A1" w:rsidRDefault="003E0C5E" w:rsidP="003E0C5E">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r w:rsidR="00ED0745">
        <w:rPr>
          <w:rFonts w:ascii="Arial" w:hAnsi="Arial" w:cs="Arial"/>
          <w:sz w:val="24"/>
          <w:szCs w:val="24"/>
        </w:rPr>
        <w:t xml:space="preserve">The opening statements and introduction to the </w:t>
      </w:r>
      <w:r w:rsidR="00700290">
        <w:rPr>
          <w:rFonts w:ascii="Arial" w:hAnsi="Arial" w:cs="Arial"/>
          <w:sz w:val="24"/>
          <w:szCs w:val="24"/>
        </w:rPr>
        <w:t>Prospectus</w:t>
      </w:r>
      <w:r w:rsidR="00ED0745">
        <w:rPr>
          <w:rFonts w:ascii="Arial" w:hAnsi="Arial" w:cs="Arial"/>
          <w:sz w:val="24"/>
          <w:szCs w:val="24"/>
        </w:rPr>
        <w:t xml:space="preserve"> reflect an important shift </w:t>
      </w:r>
      <w:r w:rsidR="00700290">
        <w:rPr>
          <w:rFonts w:ascii="Arial" w:hAnsi="Arial" w:cs="Arial"/>
          <w:sz w:val="24"/>
          <w:szCs w:val="24"/>
        </w:rPr>
        <w:t xml:space="preserve">from the LTPT.  The focus </w:t>
      </w:r>
      <w:r w:rsidR="00B60929">
        <w:rPr>
          <w:rFonts w:ascii="Arial" w:hAnsi="Arial" w:cs="Arial"/>
          <w:sz w:val="24"/>
          <w:szCs w:val="24"/>
        </w:rPr>
        <w:t>is</w:t>
      </w:r>
      <w:r w:rsidR="00700290">
        <w:rPr>
          <w:rFonts w:ascii="Arial" w:hAnsi="Arial" w:cs="Arial"/>
          <w:sz w:val="24"/>
          <w:szCs w:val="24"/>
        </w:rPr>
        <w:t xml:space="preserve"> very much </w:t>
      </w:r>
      <w:r w:rsidR="00B60929">
        <w:rPr>
          <w:rFonts w:ascii="Arial" w:hAnsi="Arial" w:cs="Arial"/>
          <w:sz w:val="24"/>
          <w:szCs w:val="24"/>
        </w:rPr>
        <w:t>on communities, on disadvantage and deprivation and on building up not just community engagement but community capacity and leadership.</w:t>
      </w:r>
      <w:r w:rsidR="002B6B85">
        <w:rPr>
          <w:rFonts w:ascii="Arial" w:hAnsi="Arial" w:cs="Arial"/>
          <w:sz w:val="24"/>
          <w:szCs w:val="24"/>
        </w:rPr>
        <w:t xml:space="preserve">  Strong references are made throughout to </w:t>
      </w:r>
      <w:r w:rsidR="004B445B">
        <w:rPr>
          <w:rFonts w:ascii="Arial" w:hAnsi="Arial" w:cs="Arial"/>
          <w:sz w:val="24"/>
          <w:szCs w:val="24"/>
        </w:rPr>
        <w:t xml:space="preserve">previous initiatives including </w:t>
      </w:r>
      <w:r w:rsidR="002B6B85">
        <w:rPr>
          <w:rFonts w:ascii="Arial" w:hAnsi="Arial" w:cs="Arial"/>
          <w:sz w:val="24"/>
          <w:szCs w:val="24"/>
        </w:rPr>
        <w:t>New Deal for Communities</w:t>
      </w:r>
      <w:r w:rsidR="006D31C1">
        <w:rPr>
          <w:rFonts w:ascii="Arial" w:hAnsi="Arial" w:cs="Arial"/>
          <w:sz w:val="24"/>
          <w:szCs w:val="24"/>
        </w:rPr>
        <w:t xml:space="preserve"> and neighbourhood renewal</w:t>
      </w:r>
      <w:r w:rsidR="009E0A2A">
        <w:rPr>
          <w:rFonts w:ascii="Arial" w:hAnsi="Arial" w:cs="Arial"/>
          <w:sz w:val="24"/>
          <w:szCs w:val="24"/>
        </w:rPr>
        <w:t>.</w:t>
      </w:r>
      <w:r w:rsidR="000013E4">
        <w:rPr>
          <w:rFonts w:ascii="Arial" w:hAnsi="Arial" w:cs="Arial"/>
          <w:sz w:val="24"/>
          <w:szCs w:val="24"/>
        </w:rPr>
        <w:t xml:space="preserve"> </w:t>
      </w:r>
    </w:p>
    <w:p w14:paraId="2F7B71D4" w14:textId="6D0E4F31" w:rsidR="00D154A1" w:rsidRDefault="003E0C5E" w:rsidP="003E0C5E">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F7719A">
        <w:rPr>
          <w:rFonts w:ascii="Arial" w:hAnsi="Arial" w:cs="Arial"/>
          <w:sz w:val="24"/>
          <w:szCs w:val="24"/>
        </w:rPr>
        <w:t xml:space="preserve">The </w:t>
      </w:r>
      <w:r w:rsidR="00032365">
        <w:rPr>
          <w:rFonts w:ascii="Arial" w:hAnsi="Arial" w:cs="Arial"/>
          <w:sz w:val="24"/>
          <w:szCs w:val="24"/>
        </w:rPr>
        <w:t>prospectus</w:t>
      </w:r>
      <w:r w:rsidR="00F7719A">
        <w:rPr>
          <w:rFonts w:ascii="Arial" w:hAnsi="Arial" w:cs="Arial"/>
          <w:sz w:val="24"/>
          <w:szCs w:val="24"/>
        </w:rPr>
        <w:t xml:space="preserve"> confirms that every encouragement</w:t>
      </w:r>
      <w:r w:rsidR="00AE7659">
        <w:rPr>
          <w:rFonts w:ascii="Arial" w:hAnsi="Arial" w:cs="Arial"/>
          <w:sz w:val="24"/>
          <w:szCs w:val="24"/>
        </w:rPr>
        <w:t xml:space="preserve"> is given “…t</w:t>
      </w:r>
      <w:r w:rsidR="00AE7659" w:rsidRPr="00AE7659">
        <w:rPr>
          <w:rFonts w:ascii="Arial" w:hAnsi="Arial" w:cs="Arial"/>
          <w:sz w:val="24"/>
          <w:szCs w:val="24"/>
        </w:rPr>
        <w:t>o focus the funding and interventions into those neighbourhoods and communities within their boundaries that have the greatest need.</w:t>
      </w:r>
      <w:r w:rsidR="00AE7659">
        <w:rPr>
          <w:rFonts w:ascii="Arial" w:hAnsi="Arial" w:cs="Arial"/>
          <w:sz w:val="24"/>
          <w:szCs w:val="24"/>
        </w:rPr>
        <w:t>”</w:t>
      </w:r>
    </w:p>
    <w:p w14:paraId="09C0CF01" w14:textId="13E6BAE2" w:rsidR="00526F72" w:rsidRPr="00BC2B6F" w:rsidRDefault="003E0C5E" w:rsidP="003E0C5E">
      <w:pPr>
        <w:ind w:left="720" w:hanging="720"/>
        <w:rPr>
          <w:rFonts w:ascii="Arial" w:hAnsi="Arial" w:cs="Arial"/>
          <w:sz w:val="24"/>
          <w:szCs w:val="24"/>
        </w:rPr>
      </w:pPr>
      <w:r>
        <w:rPr>
          <w:rFonts w:ascii="Arial" w:hAnsi="Arial" w:cs="Arial"/>
          <w:sz w:val="24"/>
          <w:szCs w:val="24"/>
        </w:rPr>
        <w:t>4.3</w:t>
      </w:r>
      <w:r>
        <w:rPr>
          <w:rFonts w:ascii="Arial" w:hAnsi="Arial" w:cs="Arial"/>
          <w:sz w:val="24"/>
          <w:szCs w:val="24"/>
        </w:rPr>
        <w:tab/>
      </w:r>
      <w:r w:rsidR="00526F72">
        <w:rPr>
          <w:rFonts w:ascii="Arial" w:hAnsi="Arial" w:cs="Arial"/>
          <w:sz w:val="24"/>
          <w:szCs w:val="24"/>
        </w:rPr>
        <w:t xml:space="preserve">It will be </w:t>
      </w:r>
      <w:r w:rsidR="00526F72" w:rsidRPr="00BC2B6F">
        <w:rPr>
          <w:rFonts w:ascii="Arial" w:hAnsi="Arial" w:cs="Arial"/>
          <w:sz w:val="24"/>
          <w:szCs w:val="24"/>
        </w:rPr>
        <w:t xml:space="preserve">noted that the boundary previously proposed under the LTPT </w:t>
      </w:r>
      <w:r w:rsidR="006A6734" w:rsidRPr="00BC2B6F">
        <w:rPr>
          <w:rFonts w:ascii="Arial" w:hAnsi="Arial" w:cs="Arial"/>
          <w:sz w:val="24"/>
          <w:szCs w:val="24"/>
        </w:rPr>
        <w:t xml:space="preserve">remains at this </w:t>
      </w:r>
      <w:r w:rsidR="00850D4D" w:rsidRPr="00BC2B6F">
        <w:rPr>
          <w:rFonts w:ascii="Arial" w:hAnsi="Arial" w:cs="Arial"/>
          <w:sz w:val="24"/>
          <w:szCs w:val="24"/>
        </w:rPr>
        <w:t xml:space="preserve">stage but there </w:t>
      </w:r>
      <w:r w:rsidR="00AA4DAC">
        <w:rPr>
          <w:rFonts w:ascii="Arial" w:hAnsi="Arial" w:cs="Arial"/>
          <w:sz w:val="24"/>
          <w:szCs w:val="24"/>
        </w:rPr>
        <w:t xml:space="preserve">is </w:t>
      </w:r>
      <w:r w:rsidR="00850D4D" w:rsidRPr="00BC2B6F">
        <w:rPr>
          <w:rFonts w:ascii="Arial" w:hAnsi="Arial" w:cs="Arial"/>
          <w:sz w:val="24"/>
          <w:szCs w:val="24"/>
        </w:rPr>
        <w:t>an opening to review that</w:t>
      </w:r>
      <w:r w:rsidR="00A5699B">
        <w:rPr>
          <w:rFonts w:ascii="Arial" w:hAnsi="Arial" w:cs="Arial"/>
          <w:sz w:val="24"/>
          <w:szCs w:val="24"/>
        </w:rPr>
        <w:t xml:space="preserve"> as referenced below.</w:t>
      </w:r>
      <w:r w:rsidR="00BE3995" w:rsidRPr="00BC2B6F">
        <w:rPr>
          <w:rFonts w:ascii="Arial" w:hAnsi="Arial" w:cs="Arial"/>
          <w:sz w:val="24"/>
          <w:szCs w:val="24"/>
        </w:rPr>
        <w:t xml:space="preserve"> </w:t>
      </w:r>
    </w:p>
    <w:p w14:paraId="699AB684" w14:textId="75B0F467" w:rsidR="00507F8D" w:rsidRPr="00BC2B6F" w:rsidRDefault="003E0C5E" w:rsidP="003E0C5E">
      <w:pPr>
        <w:ind w:left="720" w:hanging="720"/>
        <w:rPr>
          <w:rFonts w:ascii="Arial" w:hAnsi="Arial" w:cs="Arial"/>
          <w:sz w:val="24"/>
          <w:szCs w:val="24"/>
        </w:rPr>
      </w:pPr>
      <w:r>
        <w:rPr>
          <w:rFonts w:ascii="Arial" w:hAnsi="Arial" w:cs="Arial"/>
          <w:sz w:val="24"/>
          <w:szCs w:val="24"/>
        </w:rPr>
        <w:t>4.4</w:t>
      </w:r>
      <w:r>
        <w:rPr>
          <w:rFonts w:ascii="Arial" w:hAnsi="Arial" w:cs="Arial"/>
          <w:sz w:val="24"/>
          <w:szCs w:val="24"/>
        </w:rPr>
        <w:tab/>
      </w:r>
      <w:r w:rsidR="000013E4" w:rsidRPr="00BC2B6F">
        <w:rPr>
          <w:rFonts w:ascii="Arial" w:hAnsi="Arial" w:cs="Arial"/>
          <w:sz w:val="24"/>
          <w:szCs w:val="24"/>
        </w:rPr>
        <w:t xml:space="preserve">The three </w:t>
      </w:r>
      <w:r w:rsidR="00C058D4" w:rsidRPr="00BC2B6F">
        <w:rPr>
          <w:rFonts w:ascii="Arial" w:hAnsi="Arial" w:cs="Arial"/>
          <w:sz w:val="24"/>
          <w:szCs w:val="24"/>
        </w:rPr>
        <w:t>strategic objectives</w:t>
      </w:r>
      <w:r w:rsidR="00694D6D" w:rsidRPr="00BC2B6F">
        <w:rPr>
          <w:rFonts w:ascii="Arial" w:hAnsi="Arial" w:cs="Arial"/>
          <w:sz w:val="24"/>
          <w:szCs w:val="24"/>
        </w:rPr>
        <w:t xml:space="preserve">, with what are suggested key messages </w:t>
      </w:r>
      <w:r w:rsidR="004F3468" w:rsidRPr="00BC2B6F">
        <w:rPr>
          <w:rFonts w:ascii="Arial" w:hAnsi="Arial" w:cs="Arial"/>
          <w:sz w:val="24"/>
          <w:szCs w:val="24"/>
        </w:rPr>
        <w:t>from the Prospectus</w:t>
      </w:r>
      <w:r w:rsidR="00BC2B6F">
        <w:rPr>
          <w:rFonts w:ascii="Arial" w:hAnsi="Arial" w:cs="Arial"/>
          <w:sz w:val="24"/>
          <w:szCs w:val="24"/>
        </w:rPr>
        <w:t>, are</w:t>
      </w:r>
      <w:r w:rsidR="004F3468" w:rsidRPr="00BC2B6F">
        <w:rPr>
          <w:rFonts w:ascii="Arial" w:hAnsi="Arial" w:cs="Arial"/>
          <w:sz w:val="24"/>
          <w:szCs w:val="24"/>
        </w:rPr>
        <w:t xml:space="preserve"> as follows</w:t>
      </w:r>
    </w:p>
    <w:p w14:paraId="2D0D9027" w14:textId="0D9BE3F1" w:rsidR="00507F8D" w:rsidRPr="00BC2B6F" w:rsidRDefault="003E0C5E" w:rsidP="003E0C5E">
      <w:pPr>
        <w:ind w:left="720"/>
        <w:rPr>
          <w:rFonts w:ascii="Arial" w:hAnsi="Arial" w:cs="Arial"/>
          <w:sz w:val="24"/>
          <w:szCs w:val="24"/>
        </w:rPr>
      </w:pPr>
      <w:r>
        <w:rPr>
          <w:rFonts w:ascii="Arial" w:hAnsi="Arial" w:cs="Arial"/>
          <w:b/>
          <w:bCs/>
          <w:sz w:val="24"/>
          <w:szCs w:val="24"/>
        </w:rPr>
        <w:t>T</w:t>
      </w:r>
      <w:r w:rsidR="00507F8D" w:rsidRPr="00507F8D">
        <w:rPr>
          <w:rFonts w:ascii="Arial" w:hAnsi="Arial" w:cs="Arial"/>
          <w:b/>
          <w:bCs/>
          <w:sz w:val="24"/>
          <w:szCs w:val="24"/>
        </w:rPr>
        <w:t>hriving places</w:t>
      </w:r>
      <w:r w:rsidR="004F3468" w:rsidRPr="00BC2B6F">
        <w:rPr>
          <w:rFonts w:ascii="Arial" w:hAnsi="Arial" w:cs="Arial"/>
          <w:sz w:val="24"/>
          <w:szCs w:val="24"/>
        </w:rPr>
        <w:t xml:space="preserve"> – noting</w:t>
      </w:r>
      <w:r w:rsidR="00796A1A" w:rsidRPr="00BC2B6F">
        <w:rPr>
          <w:rFonts w:ascii="Arial" w:hAnsi="Arial" w:cs="Arial"/>
          <w:sz w:val="24"/>
          <w:szCs w:val="24"/>
        </w:rPr>
        <w:t>:</w:t>
      </w:r>
    </w:p>
    <w:p w14:paraId="070A341A" w14:textId="42A26080" w:rsidR="00796A1A" w:rsidRPr="00BC2B6F" w:rsidRDefault="00275997" w:rsidP="00796A1A">
      <w:pPr>
        <w:ind w:left="720"/>
        <w:rPr>
          <w:rFonts w:ascii="Arial" w:hAnsi="Arial" w:cs="Arial"/>
          <w:i/>
          <w:iCs/>
          <w:sz w:val="24"/>
          <w:szCs w:val="24"/>
        </w:rPr>
      </w:pPr>
      <w:r w:rsidRPr="00BC2B6F">
        <w:rPr>
          <w:rFonts w:ascii="Arial" w:hAnsi="Arial" w:cs="Arial"/>
          <w:i/>
          <w:iCs/>
          <w:sz w:val="24"/>
          <w:szCs w:val="24"/>
        </w:rPr>
        <w:t xml:space="preserve">“Every part of the UK deserves to have vibrant neighbourhoods and communities with busy high streets, a good range of local amenities, and high-quality physical infrastructure.” </w:t>
      </w:r>
      <w:r w:rsidR="00BB57DF" w:rsidRPr="00BC2B6F">
        <w:rPr>
          <w:rFonts w:ascii="Arial" w:hAnsi="Arial" w:cs="Arial"/>
          <w:i/>
          <w:iCs/>
          <w:sz w:val="24"/>
          <w:szCs w:val="24"/>
        </w:rPr>
        <w:t>a</w:t>
      </w:r>
      <w:r w:rsidRPr="00BC2B6F">
        <w:rPr>
          <w:rFonts w:ascii="Arial" w:hAnsi="Arial" w:cs="Arial"/>
          <w:i/>
          <w:iCs/>
          <w:sz w:val="24"/>
          <w:szCs w:val="24"/>
        </w:rPr>
        <w:t>nd</w:t>
      </w:r>
    </w:p>
    <w:p w14:paraId="49427EB3" w14:textId="76340AA9" w:rsidR="00275997" w:rsidRPr="00507F8D" w:rsidRDefault="001E6B0C" w:rsidP="00796A1A">
      <w:pPr>
        <w:ind w:left="720"/>
        <w:rPr>
          <w:rFonts w:ascii="Arial" w:hAnsi="Arial" w:cs="Arial"/>
          <w:i/>
          <w:iCs/>
          <w:sz w:val="24"/>
          <w:szCs w:val="24"/>
        </w:rPr>
      </w:pPr>
      <w:r w:rsidRPr="00BC2B6F">
        <w:rPr>
          <w:rFonts w:ascii="Arial" w:hAnsi="Arial" w:cs="Arial"/>
          <w:i/>
          <w:iCs/>
          <w:sz w:val="24"/>
          <w:szCs w:val="24"/>
        </w:rPr>
        <w:t>“Places should be able to design public services that are accessible, responsive, and tailored to local need. Investing in our young people’s futures and in preventative measures now will ease pressure on services over the longer-term.”</w:t>
      </w:r>
    </w:p>
    <w:p w14:paraId="6B99D16C" w14:textId="5C33D894" w:rsidR="00BC2B6F" w:rsidRPr="00216EED" w:rsidRDefault="003E0C5E" w:rsidP="003E0C5E">
      <w:pPr>
        <w:ind w:left="720"/>
        <w:rPr>
          <w:rFonts w:ascii="Arial" w:hAnsi="Arial" w:cs="Arial"/>
          <w:i/>
          <w:iCs/>
          <w:sz w:val="24"/>
          <w:szCs w:val="24"/>
        </w:rPr>
      </w:pPr>
      <w:r>
        <w:rPr>
          <w:rFonts w:ascii="Arial" w:hAnsi="Arial" w:cs="Arial"/>
          <w:b/>
          <w:bCs/>
          <w:sz w:val="24"/>
          <w:szCs w:val="24"/>
        </w:rPr>
        <w:t>S</w:t>
      </w:r>
      <w:r w:rsidR="00507F8D" w:rsidRPr="00507F8D">
        <w:rPr>
          <w:rFonts w:ascii="Arial" w:hAnsi="Arial" w:cs="Arial"/>
          <w:b/>
          <w:bCs/>
          <w:sz w:val="24"/>
          <w:szCs w:val="24"/>
        </w:rPr>
        <w:t>tronger communities</w:t>
      </w:r>
      <w:r w:rsidR="001E6B0C" w:rsidRPr="00BC2B6F">
        <w:rPr>
          <w:rFonts w:ascii="Arial" w:hAnsi="Arial" w:cs="Arial"/>
          <w:sz w:val="24"/>
          <w:szCs w:val="24"/>
        </w:rPr>
        <w:t xml:space="preserve"> – noting:</w:t>
      </w:r>
      <w:r w:rsidR="00BB57DF" w:rsidRPr="00BC2B6F">
        <w:rPr>
          <w:rFonts w:ascii="Arial" w:hAnsi="Arial" w:cs="Arial"/>
          <w:sz w:val="24"/>
          <w:szCs w:val="24"/>
        </w:rPr>
        <w:br/>
      </w:r>
      <w:r w:rsidR="00BB57DF" w:rsidRPr="00BC2B6F">
        <w:rPr>
          <w:rFonts w:ascii="Arial" w:hAnsi="Arial" w:cs="Arial"/>
          <w:sz w:val="24"/>
          <w:szCs w:val="24"/>
        </w:rPr>
        <w:br/>
      </w:r>
      <w:r w:rsidR="00BC2B6F" w:rsidRPr="00216EED">
        <w:rPr>
          <w:rFonts w:ascii="Arial" w:hAnsi="Arial" w:cs="Arial"/>
          <w:i/>
          <w:iCs/>
          <w:sz w:val="24"/>
          <w:szCs w:val="24"/>
        </w:rPr>
        <w:t>“We want to empower boards to tackle the root causes, rebuild relationships, and restore a collective sense of belonging to their community, bringing people together so they can feel proud of their area and safe in their neighbourhood.</w:t>
      </w:r>
      <w:r w:rsidR="00216EED" w:rsidRPr="00216EED">
        <w:rPr>
          <w:rFonts w:ascii="Arial" w:hAnsi="Arial" w:cs="Arial"/>
          <w:i/>
          <w:iCs/>
          <w:sz w:val="24"/>
          <w:szCs w:val="24"/>
        </w:rPr>
        <w:t>” and</w:t>
      </w:r>
    </w:p>
    <w:p w14:paraId="751E11B3" w14:textId="69EBFDCF" w:rsidR="00BB57DF" w:rsidRPr="00507F8D" w:rsidRDefault="00216EED" w:rsidP="00216EED">
      <w:pPr>
        <w:ind w:left="720"/>
        <w:rPr>
          <w:rFonts w:ascii="Arial" w:hAnsi="Arial" w:cs="Arial"/>
          <w:i/>
          <w:iCs/>
          <w:sz w:val="24"/>
          <w:szCs w:val="24"/>
        </w:rPr>
      </w:pPr>
      <w:r w:rsidRPr="00216EED">
        <w:rPr>
          <w:rFonts w:ascii="Arial" w:hAnsi="Arial" w:cs="Arial"/>
          <w:i/>
          <w:iCs/>
          <w:sz w:val="24"/>
          <w:szCs w:val="24"/>
        </w:rPr>
        <w:t>“</w:t>
      </w:r>
      <w:r w:rsidR="00BC2B6F" w:rsidRPr="00BC2B6F">
        <w:rPr>
          <w:rFonts w:ascii="Arial" w:hAnsi="Arial" w:cs="Arial"/>
          <w:i/>
          <w:iCs/>
          <w:sz w:val="24"/>
          <w:szCs w:val="24"/>
        </w:rPr>
        <w:t>Tackling this division will have a direct, positive impact on growth. Improving social capital is a virtuous circle across many areas of public life.</w:t>
      </w:r>
      <w:r w:rsidRPr="00206943">
        <w:rPr>
          <w:rFonts w:ascii="Arial" w:hAnsi="Arial" w:cs="Arial"/>
          <w:i/>
          <w:iCs/>
          <w:sz w:val="24"/>
          <w:szCs w:val="24"/>
        </w:rPr>
        <w:t>”</w:t>
      </w:r>
      <w:r w:rsidR="00BC2B6F" w:rsidRPr="00BC2B6F">
        <w:rPr>
          <w:rFonts w:ascii="Arial" w:hAnsi="Arial" w:cs="Arial"/>
          <w:i/>
          <w:iCs/>
          <w:sz w:val="24"/>
          <w:szCs w:val="24"/>
        </w:rPr>
        <w:t> </w:t>
      </w:r>
    </w:p>
    <w:p w14:paraId="17CD7D95" w14:textId="7FC0AAD8" w:rsidR="00206943" w:rsidRPr="00206943" w:rsidRDefault="003E0C5E" w:rsidP="003E0C5E">
      <w:pPr>
        <w:ind w:left="720"/>
        <w:rPr>
          <w:rFonts w:ascii="Arial" w:hAnsi="Arial" w:cs="Arial"/>
          <w:i/>
          <w:iCs/>
          <w:sz w:val="24"/>
          <w:szCs w:val="24"/>
        </w:rPr>
      </w:pPr>
      <w:r>
        <w:rPr>
          <w:rFonts w:ascii="Arial" w:hAnsi="Arial" w:cs="Arial"/>
          <w:b/>
          <w:bCs/>
          <w:sz w:val="24"/>
          <w:szCs w:val="24"/>
        </w:rPr>
        <w:lastRenderedPageBreak/>
        <w:t>T</w:t>
      </w:r>
      <w:r w:rsidR="00507F8D" w:rsidRPr="00507F8D">
        <w:rPr>
          <w:rFonts w:ascii="Arial" w:hAnsi="Arial" w:cs="Arial"/>
          <w:b/>
          <w:bCs/>
          <w:sz w:val="24"/>
          <w:szCs w:val="24"/>
        </w:rPr>
        <w:t>aking back control</w:t>
      </w:r>
      <w:r w:rsidR="00BB57DF" w:rsidRPr="00206943">
        <w:rPr>
          <w:rFonts w:ascii="Arial" w:hAnsi="Arial" w:cs="Arial"/>
          <w:sz w:val="24"/>
          <w:szCs w:val="24"/>
        </w:rPr>
        <w:t xml:space="preserve"> – noting:</w:t>
      </w:r>
      <w:r w:rsidR="00206943" w:rsidRPr="00206943">
        <w:rPr>
          <w:rFonts w:ascii="Arial" w:hAnsi="Arial" w:cs="Arial"/>
          <w:sz w:val="24"/>
          <w:szCs w:val="24"/>
        </w:rPr>
        <w:br/>
      </w:r>
      <w:r w:rsidR="00206943" w:rsidRPr="00206943">
        <w:rPr>
          <w:rFonts w:ascii="Arial" w:hAnsi="Arial" w:cs="Arial"/>
          <w:sz w:val="24"/>
          <w:szCs w:val="24"/>
        </w:rPr>
        <w:br/>
      </w:r>
      <w:r w:rsidR="00206943" w:rsidRPr="00206943">
        <w:rPr>
          <w:rFonts w:ascii="Arial" w:hAnsi="Arial" w:cs="Arial"/>
          <w:i/>
          <w:iCs/>
          <w:sz w:val="24"/>
          <w:szCs w:val="24"/>
        </w:rPr>
        <w:t xml:space="preserve">“We will empower people to enter the workplace, workers to progress, and businesses to grow. This will in turn help kickstart local economic growth” and </w:t>
      </w:r>
    </w:p>
    <w:p w14:paraId="298F65F4" w14:textId="4902330C" w:rsidR="00AD6CFA" w:rsidRPr="00206943" w:rsidRDefault="00206943" w:rsidP="00AD6CFA">
      <w:pPr>
        <w:ind w:left="720"/>
        <w:rPr>
          <w:rFonts w:ascii="Arial" w:hAnsi="Arial" w:cs="Arial"/>
          <w:i/>
          <w:iCs/>
          <w:sz w:val="24"/>
          <w:szCs w:val="24"/>
        </w:rPr>
      </w:pPr>
      <w:r w:rsidRPr="00206943">
        <w:rPr>
          <w:rFonts w:ascii="Arial" w:hAnsi="Arial" w:cs="Arial"/>
          <w:i/>
          <w:iCs/>
          <w:sz w:val="24"/>
          <w:szCs w:val="24"/>
        </w:rPr>
        <w:t>“Empowered people will also have more of a say in how their local area is shaped, a central component of this programme and this government’s vision for communities.”</w:t>
      </w:r>
    </w:p>
    <w:p w14:paraId="2510EEF6" w14:textId="7A753EBD" w:rsidR="00216EED" w:rsidRPr="00AA4DAC" w:rsidRDefault="003E0C5E" w:rsidP="00AA4DAC">
      <w:pPr>
        <w:rPr>
          <w:rFonts w:ascii="Arial" w:hAnsi="Arial" w:cs="Arial"/>
          <w:b/>
          <w:bCs/>
          <w:sz w:val="24"/>
          <w:szCs w:val="24"/>
        </w:rPr>
      </w:pPr>
      <w:r>
        <w:rPr>
          <w:rFonts w:ascii="Arial" w:hAnsi="Arial" w:cs="Arial"/>
          <w:b/>
          <w:bCs/>
          <w:sz w:val="24"/>
          <w:szCs w:val="24"/>
        </w:rPr>
        <w:t>5</w:t>
      </w:r>
      <w:r>
        <w:rPr>
          <w:rFonts w:ascii="Arial" w:hAnsi="Arial" w:cs="Arial"/>
          <w:b/>
          <w:bCs/>
          <w:sz w:val="24"/>
          <w:szCs w:val="24"/>
        </w:rPr>
        <w:tab/>
      </w:r>
      <w:r w:rsidR="00335AFE" w:rsidRPr="00AA4DAC">
        <w:rPr>
          <w:rFonts w:ascii="Arial" w:hAnsi="Arial" w:cs="Arial"/>
          <w:b/>
          <w:bCs/>
          <w:sz w:val="24"/>
          <w:szCs w:val="24"/>
        </w:rPr>
        <w:t>Governance</w:t>
      </w:r>
    </w:p>
    <w:p w14:paraId="7105923A" w14:textId="2EF2DE0F" w:rsidR="00040E99" w:rsidRDefault="003E0C5E" w:rsidP="003E0C5E">
      <w:pPr>
        <w:ind w:left="720" w:hanging="720"/>
        <w:rPr>
          <w:rFonts w:ascii="Arial" w:hAnsi="Arial" w:cs="Arial"/>
          <w:sz w:val="24"/>
          <w:szCs w:val="24"/>
        </w:rPr>
      </w:pPr>
      <w:r>
        <w:rPr>
          <w:rFonts w:ascii="Arial" w:hAnsi="Arial" w:cs="Arial"/>
          <w:sz w:val="24"/>
          <w:szCs w:val="24"/>
        </w:rPr>
        <w:t>5.1</w:t>
      </w:r>
      <w:r>
        <w:rPr>
          <w:rFonts w:ascii="Arial" w:hAnsi="Arial" w:cs="Arial"/>
          <w:sz w:val="24"/>
          <w:szCs w:val="24"/>
        </w:rPr>
        <w:tab/>
      </w:r>
      <w:r w:rsidR="00346551">
        <w:rPr>
          <w:rFonts w:ascii="Arial" w:hAnsi="Arial" w:cs="Arial"/>
          <w:sz w:val="24"/>
          <w:szCs w:val="24"/>
        </w:rPr>
        <w:t xml:space="preserve">The expectation is that </w:t>
      </w:r>
      <w:r w:rsidR="005C3594" w:rsidRPr="00C9078C">
        <w:rPr>
          <w:rFonts w:ascii="Arial" w:hAnsi="Arial" w:cs="Arial"/>
          <w:b/>
          <w:bCs/>
          <w:sz w:val="24"/>
          <w:szCs w:val="24"/>
        </w:rPr>
        <w:t>Neighbourhood Boards</w:t>
      </w:r>
      <w:r w:rsidR="005C3594">
        <w:rPr>
          <w:rFonts w:ascii="Arial" w:hAnsi="Arial" w:cs="Arial"/>
          <w:sz w:val="24"/>
          <w:szCs w:val="24"/>
        </w:rPr>
        <w:t xml:space="preserve"> are to be created.  </w:t>
      </w:r>
      <w:r w:rsidR="003F37F3">
        <w:rPr>
          <w:rFonts w:ascii="Arial" w:hAnsi="Arial" w:cs="Arial"/>
          <w:sz w:val="24"/>
          <w:szCs w:val="24"/>
        </w:rPr>
        <w:t>T</w:t>
      </w:r>
      <w:r w:rsidR="005C3594">
        <w:rPr>
          <w:rFonts w:ascii="Arial" w:hAnsi="Arial" w:cs="Arial"/>
          <w:sz w:val="24"/>
          <w:szCs w:val="24"/>
        </w:rPr>
        <w:t xml:space="preserve">he Place </w:t>
      </w:r>
      <w:r w:rsidR="001766AB">
        <w:rPr>
          <w:rFonts w:ascii="Arial" w:hAnsi="Arial" w:cs="Arial"/>
          <w:sz w:val="24"/>
          <w:szCs w:val="24"/>
        </w:rPr>
        <w:t xml:space="preserve">(Town) </w:t>
      </w:r>
      <w:r w:rsidR="005C3594">
        <w:rPr>
          <w:rFonts w:ascii="Arial" w:hAnsi="Arial" w:cs="Arial"/>
          <w:sz w:val="24"/>
          <w:szCs w:val="24"/>
        </w:rPr>
        <w:t>Board was agreed as the vehicle to develop this under the LTPT</w:t>
      </w:r>
      <w:r w:rsidR="005276B9">
        <w:rPr>
          <w:rFonts w:ascii="Arial" w:hAnsi="Arial" w:cs="Arial"/>
          <w:sz w:val="24"/>
          <w:szCs w:val="24"/>
        </w:rPr>
        <w:t xml:space="preserve"> – and as exists for the </w:t>
      </w:r>
      <w:r w:rsidR="009D3319">
        <w:rPr>
          <w:rFonts w:ascii="Arial" w:hAnsi="Arial" w:cs="Arial"/>
          <w:sz w:val="24"/>
          <w:szCs w:val="24"/>
        </w:rPr>
        <w:t>Towns Fund.</w:t>
      </w:r>
      <w:r w:rsidR="005C3594">
        <w:rPr>
          <w:rFonts w:ascii="Arial" w:hAnsi="Arial" w:cs="Arial"/>
          <w:sz w:val="24"/>
          <w:szCs w:val="24"/>
        </w:rPr>
        <w:t xml:space="preserve">  </w:t>
      </w:r>
      <w:r w:rsidR="00882304">
        <w:rPr>
          <w:rFonts w:ascii="Arial" w:hAnsi="Arial" w:cs="Arial"/>
          <w:sz w:val="24"/>
          <w:szCs w:val="24"/>
        </w:rPr>
        <w:t xml:space="preserve">There are some subtle messages as to expected changes and equally messages about not </w:t>
      </w:r>
      <w:r w:rsidR="005276B9">
        <w:rPr>
          <w:rFonts w:ascii="Arial" w:hAnsi="Arial" w:cs="Arial"/>
          <w:sz w:val="24"/>
          <w:szCs w:val="24"/>
        </w:rPr>
        <w:t xml:space="preserve">replacing or undermining </w:t>
      </w:r>
      <w:r w:rsidR="009D3319">
        <w:rPr>
          <w:rFonts w:ascii="Arial" w:hAnsi="Arial" w:cs="Arial"/>
          <w:sz w:val="24"/>
          <w:szCs w:val="24"/>
        </w:rPr>
        <w:t xml:space="preserve">existing arrangements.  </w:t>
      </w:r>
    </w:p>
    <w:p w14:paraId="23E531B2" w14:textId="26ADF70E" w:rsidR="00335AFE" w:rsidRDefault="003E0C5E" w:rsidP="003E0C5E">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040E99">
        <w:rPr>
          <w:rFonts w:ascii="Arial" w:hAnsi="Arial" w:cs="Arial"/>
          <w:sz w:val="24"/>
          <w:szCs w:val="24"/>
        </w:rPr>
        <w:t xml:space="preserve">It will be noted that separate additional guidance </w:t>
      </w:r>
      <w:r w:rsidR="008E03BD">
        <w:rPr>
          <w:rFonts w:ascii="Arial" w:hAnsi="Arial" w:cs="Arial"/>
          <w:sz w:val="24"/>
          <w:szCs w:val="24"/>
        </w:rPr>
        <w:t>has been issued</w:t>
      </w:r>
      <w:r w:rsidR="00040E99">
        <w:rPr>
          <w:rFonts w:ascii="Arial" w:hAnsi="Arial" w:cs="Arial"/>
          <w:sz w:val="24"/>
          <w:szCs w:val="24"/>
        </w:rPr>
        <w:t xml:space="preserve"> on this matter but within the Prospectus at least, the following points merit note:</w:t>
      </w:r>
    </w:p>
    <w:p w14:paraId="45447F7F" w14:textId="03AB4FFB" w:rsidR="00040E99" w:rsidRPr="00FB5322" w:rsidRDefault="009A3A85" w:rsidP="00040E99">
      <w:pPr>
        <w:pStyle w:val="ListParagraph"/>
        <w:numPr>
          <w:ilvl w:val="0"/>
          <w:numId w:val="10"/>
        </w:numPr>
        <w:rPr>
          <w:rFonts w:ascii="Arial" w:hAnsi="Arial" w:cs="Arial"/>
          <w:sz w:val="24"/>
          <w:szCs w:val="24"/>
        </w:rPr>
      </w:pPr>
      <w:r w:rsidRPr="009A3A85">
        <w:rPr>
          <w:rFonts w:ascii="Arial" w:hAnsi="Arial" w:cs="Arial"/>
          <w:sz w:val="24"/>
          <w:szCs w:val="24"/>
        </w:rPr>
        <w:t xml:space="preserve">local people </w:t>
      </w:r>
      <w:r>
        <w:rPr>
          <w:rFonts w:ascii="Arial" w:hAnsi="Arial" w:cs="Arial"/>
          <w:sz w:val="24"/>
          <w:szCs w:val="24"/>
        </w:rPr>
        <w:t xml:space="preserve">are expected to be </w:t>
      </w:r>
      <w:r w:rsidRPr="009A3A85">
        <w:rPr>
          <w:rFonts w:ascii="Arial" w:hAnsi="Arial" w:cs="Arial"/>
          <w:sz w:val="24"/>
          <w:szCs w:val="24"/>
        </w:rPr>
        <w:t xml:space="preserve">at the centre of defining their town’s future, with responsibility for developing their Regeneration Plan – in partnership with the local </w:t>
      </w:r>
      <w:r w:rsidRPr="00FB5322">
        <w:rPr>
          <w:rFonts w:ascii="Arial" w:hAnsi="Arial" w:cs="Arial"/>
          <w:sz w:val="24"/>
          <w:szCs w:val="24"/>
        </w:rPr>
        <w:t>authority - to deliver the strategic objectives of the programme.</w:t>
      </w:r>
    </w:p>
    <w:p w14:paraId="3EA576F9" w14:textId="6871F13A" w:rsidR="001766AB" w:rsidRDefault="00886204" w:rsidP="00FB5322">
      <w:pPr>
        <w:pStyle w:val="ListParagraph"/>
        <w:numPr>
          <w:ilvl w:val="0"/>
          <w:numId w:val="10"/>
        </w:numPr>
        <w:rPr>
          <w:rFonts w:ascii="Arial" w:hAnsi="Arial" w:cs="Arial"/>
          <w:sz w:val="24"/>
          <w:szCs w:val="24"/>
        </w:rPr>
      </w:pPr>
      <w:r w:rsidRPr="00FB5322">
        <w:rPr>
          <w:rFonts w:ascii="Arial" w:hAnsi="Arial" w:cs="Arial"/>
          <w:sz w:val="24"/>
          <w:szCs w:val="24"/>
        </w:rPr>
        <w:t>They should include “…residents, local businesses, grassroots campaigners, workplace representatives, faith, and community leaders and those with a deep connection to their area.”</w:t>
      </w:r>
      <w:r w:rsidR="0070531F">
        <w:rPr>
          <w:rFonts w:ascii="Arial" w:hAnsi="Arial" w:cs="Arial"/>
          <w:sz w:val="24"/>
          <w:szCs w:val="24"/>
        </w:rPr>
        <w:t xml:space="preserve">  This suggests a widening brief and a ToR that reflects the requirements.</w:t>
      </w:r>
    </w:p>
    <w:p w14:paraId="009A531B" w14:textId="6F2A2465" w:rsidR="00552CD5" w:rsidRPr="00FB5322" w:rsidRDefault="003E0C5E" w:rsidP="002634BE">
      <w:pPr>
        <w:rPr>
          <w:rFonts w:ascii="Arial" w:hAnsi="Arial" w:cs="Arial"/>
          <w:sz w:val="24"/>
          <w:szCs w:val="24"/>
        </w:rPr>
      </w:pPr>
      <w:r>
        <w:rPr>
          <w:rFonts w:ascii="Arial" w:hAnsi="Arial" w:cs="Arial"/>
          <w:sz w:val="24"/>
          <w:szCs w:val="24"/>
        </w:rPr>
        <w:t>5.3</w:t>
      </w:r>
      <w:r>
        <w:rPr>
          <w:rFonts w:ascii="Arial" w:hAnsi="Arial" w:cs="Arial"/>
          <w:sz w:val="24"/>
          <w:szCs w:val="24"/>
        </w:rPr>
        <w:tab/>
      </w:r>
      <w:r w:rsidR="00552CD5" w:rsidRPr="00FB5322">
        <w:rPr>
          <w:rFonts w:ascii="Arial" w:hAnsi="Arial" w:cs="Arial"/>
          <w:sz w:val="24"/>
          <w:szCs w:val="24"/>
        </w:rPr>
        <w:t xml:space="preserve">The “governance and boundary </w:t>
      </w:r>
      <w:r w:rsidR="00A40D98" w:rsidRPr="00FB5322">
        <w:rPr>
          <w:rFonts w:ascii="Arial" w:hAnsi="Arial" w:cs="Arial"/>
          <w:sz w:val="24"/>
          <w:szCs w:val="24"/>
        </w:rPr>
        <w:t xml:space="preserve">guidance” </w:t>
      </w:r>
      <w:r w:rsidR="00FB5322" w:rsidRPr="00FB5322">
        <w:rPr>
          <w:rFonts w:ascii="Arial" w:hAnsi="Arial" w:cs="Arial"/>
          <w:sz w:val="24"/>
          <w:szCs w:val="24"/>
        </w:rPr>
        <w:t>cover</w:t>
      </w:r>
      <w:r w:rsidR="002634BE">
        <w:rPr>
          <w:rFonts w:ascii="Arial" w:hAnsi="Arial" w:cs="Arial"/>
          <w:sz w:val="24"/>
          <w:szCs w:val="24"/>
        </w:rPr>
        <w:t>s</w:t>
      </w:r>
      <w:r w:rsidR="00552CD5" w:rsidRPr="00FB5322">
        <w:rPr>
          <w:rFonts w:ascii="Arial" w:hAnsi="Arial" w:cs="Arial"/>
          <w:sz w:val="24"/>
          <w:szCs w:val="24"/>
        </w:rPr>
        <w:t>:</w:t>
      </w:r>
    </w:p>
    <w:p w14:paraId="3B72DFFE" w14:textId="77777777" w:rsidR="00552CD5" w:rsidRPr="00552CD5" w:rsidRDefault="00552CD5" w:rsidP="00552CD5">
      <w:pPr>
        <w:numPr>
          <w:ilvl w:val="0"/>
          <w:numId w:val="11"/>
        </w:numPr>
        <w:rPr>
          <w:rFonts w:ascii="Arial" w:hAnsi="Arial" w:cs="Arial"/>
          <w:sz w:val="24"/>
          <w:szCs w:val="24"/>
        </w:rPr>
      </w:pPr>
      <w:r w:rsidRPr="00552CD5">
        <w:rPr>
          <w:rFonts w:ascii="Arial" w:hAnsi="Arial" w:cs="Arial"/>
          <w:sz w:val="24"/>
          <w:szCs w:val="24"/>
        </w:rPr>
        <w:t>accountable bodies and Neighbourhood Board roles and responsibilities </w:t>
      </w:r>
    </w:p>
    <w:p w14:paraId="4107DB0E" w14:textId="77777777" w:rsidR="00552CD5" w:rsidRPr="00552CD5" w:rsidRDefault="00552CD5" w:rsidP="00552CD5">
      <w:pPr>
        <w:numPr>
          <w:ilvl w:val="0"/>
          <w:numId w:val="11"/>
        </w:numPr>
        <w:rPr>
          <w:rFonts w:ascii="Arial" w:hAnsi="Arial" w:cs="Arial"/>
          <w:sz w:val="24"/>
          <w:szCs w:val="24"/>
        </w:rPr>
      </w:pPr>
      <w:r w:rsidRPr="00552CD5">
        <w:rPr>
          <w:rFonts w:ascii="Arial" w:hAnsi="Arial" w:cs="Arial"/>
          <w:sz w:val="24"/>
          <w:szCs w:val="24"/>
        </w:rPr>
        <w:t>governance structure requirements for Neighbourhood Boards  </w:t>
      </w:r>
    </w:p>
    <w:p w14:paraId="656B8DD6" w14:textId="0E844760" w:rsidR="00552CD5" w:rsidRPr="00552CD5" w:rsidRDefault="00552CD5" w:rsidP="00552CD5">
      <w:pPr>
        <w:numPr>
          <w:ilvl w:val="0"/>
          <w:numId w:val="11"/>
        </w:numPr>
        <w:rPr>
          <w:rFonts w:ascii="Arial" w:hAnsi="Arial" w:cs="Arial"/>
          <w:sz w:val="24"/>
          <w:szCs w:val="24"/>
        </w:rPr>
      </w:pPr>
      <w:r w:rsidRPr="00552CD5">
        <w:rPr>
          <w:rFonts w:ascii="Arial" w:hAnsi="Arial" w:cs="Arial"/>
          <w:sz w:val="24"/>
          <w:szCs w:val="24"/>
        </w:rPr>
        <w:t>the process and timelines to confirm their Neighbourhood Board arrangements and boundary </w:t>
      </w:r>
    </w:p>
    <w:p w14:paraId="6A2D3E34" w14:textId="77777777" w:rsidR="00552CD5" w:rsidRPr="00552CD5" w:rsidRDefault="00552CD5" w:rsidP="00552CD5">
      <w:pPr>
        <w:numPr>
          <w:ilvl w:val="0"/>
          <w:numId w:val="11"/>
        </w:numPr>
        <w:rPr>
          <w:rFonts w:ascii="Arial" w:hAnsi="Arial" w:cs="Arial"/>
          <w:sz w:val="24"/>
          <w:szCs w:val="24"/>
        </w:rPr>
      </w:pPr>
      <w:r w:rsidRPr="00552CD5">
        <w:rPr>
          <w:rFonts w:ascii="Arial" w:hAnsi="Arial" w:cs="Arial"/>
          <w:sz w:val="24"/>
          <w:szCs w:val="24"/>
        </w:rPr>
        <w:t>geographical boundaries for places in receipt of funding </w:t>
      </w:r>
    </w:p>
    <w:p w14:paraId="64B84D92" w14:textId="77777777" w:rsidR="00552CD5" w:rsidRPr="00552CD5" w:rsidRDefault="00552CD5" w:rsidP="00552CD5">
      <w:pPr>
        <w:numPr>
          <w:ilvl w:val="0"/>
          <w:numId w:val="11"/>
        </w:numPr>
        <w:rPr>
          <w:rFonts w:ascii="Arial" w:hAnsi="Arial" w:cs="Arial"/>
          <w:sz w:val="24"/>
          <w:szCs w:val="24"/>
        </w:rPr>
      </w:pPr>
      <w:r w:rsidRPr="00552CD5">
        <w:rPr>
          <w:rFonts w:ascii="Arial" w:hAnsi="Arial" w:cs="Arial"/>
          <w:sz w:val="24"/>
          <w:szCs w:val="24"/>
        </w:rPr>
        <w:t>the associated MHCLG review and approval process</w:t>
      </w:r>
    </w:p>
    <w:p w14:paraId="3CD3889F" w14:textId="4E346A24" w:rsidR="00507F8D" w:rsidRPr="00206943" w:rsidRDefault="003E0C5E" w:rsidP="003E0C5E">
      <w:pPr>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00B63375">
        <w:rPr>
          <w:rFonts w:ascii="Arial" w:hAnsi="Arial" w:cs="Arial"/>
          <w:sz w:val="24"/>
          <w:szCs w:val="24"/>
        </w:rPr>
        <w:t>Fundamentally, a</w:t>
      </w:r>
      <w:r w:rsidR="00F801DE">
        <w:rPr>
          <w:rFonts w:ascii="Arial" w:hAnsi="Arial" w:cs="Arial"/>
          <w:sz w:val="24"/>
          <w:szCs w:val="24"/>
        </w:rPr>
        <w:t>ll</w:t>
      </w:r>
      <w:r w:rsidR="00B63375">
        <w:rPr>
          <w:rFonts w:ascii="Arial" w:hAnsi="Arial" w:cs="Arial"/>
          <w:sz w:val="24"/>
          <w:szCs w:val="24"/>
        </w:rPr>
        <w:t xml:space="preserve"> Boards must </w:t>
      </w:r>
      <w:r w:rsidR="00F801DE" w:rsidRPr="00F801DE">
        <w:rPr>
          <w:rFonts w:ascii="Arial" w:hAnsi="Arial" w:cs="Arial"/>
          <w:sz w:val="24"/>
          <w:szCs w:val="24"/>
        </w:rPr>
        <w:t xml:space="preserve">confirm their proposed chair, membership and boundary by </w:t>
      </w:r>
      <w:r w:rsidR="00F801DE" w:rsidRPr="00F801DE">
        <w:rPr>
          <w:rFonts w:ascii="Arial" w:hAnsi="Arial" w:cs="Arial"/>
          <w:b/>
          <w:bCs/>
          <w:sz w:val="24"/>
          <w:szCs w:val="24"/>
        </w:rPr>
        <w:t>22 April 2025</w:t>
      </w:r>
      <w:r w:rsidR="00F801DE" w:rsidRPr="00F801DE">
        <w:rPr>
          <w:rFonts w:ascii="Arial" w:hAnsi="Arial" w:cs="Arial"/>
          <w:sz w:val="24"/>
          <w:szCs w:val="24"/>
        </w:rPr>
        <w:t xml:space="preserve">. </w:t>
      </w:r>
    </w:p>
    <w:p w14:paraId="1D0B31D2" w14:textId="6DBFFC5E" w:rsidR="00D154A1" w:rsidRPr="002634BE" w:rsidRDefault="003E0C5E" w:rsidP="002634BE">
      <w:pPr>
        <w:rPr>
          <w:rFonts w:ascii="Arial" w:hAnsi="Arial" w:cs="Arial"/>
          <w:b/>
          <w:bCs/>
          <w:sz w:val="24"/>
          <w:szCs w:val="24"/>
        </w:rPr>
      </w:pPr>
      <w:r>
        <w:rPr>
          <w:rFonts w:ascii="Arial" w:hAnsi="Arial" w:cs="Arial"/>
          <w:b/>
          <w:bCs/>
          <w:sz w:val="24"/>
          <w:szCs w:val="24"/>
        </w:rPr>
        <w:t>6</w:t>
      </w:r>
      <w:r>
        <w:rPr>
          <w:rFonts w:ascii="Arial" w:hAnsi="Arial" w:cs="Arial"/>
          <w:b/>
          <w:bCs/>
          <w:sz w:val="24"/>
          <w:szCs w:val="24"/>
        </w:rPr>
        <w:tab/>
      </w:r>
      <w:r w:rsidR="00DC47CB" w:rsidRPr="002634BE">
        <w:rPr>
          <w:rFonts w:ascii="Arial" w:hAnsi="Arial" w:cs="Arial"/>
          <w:b/>
          <w:bCs/>
          <w:sz w:val="24"/>
          <w:szCs w:val="24"/>
        </w:rPr>
        <w:t>Regeneration Plans</w:t>
      </w:r>
    </w:p>
    <w:p w14:paraId="1B2209B5" w14:textId="5378621B" w:rsidR="00DC47CB" w:rsidRDefault="003E0C5E" w:rsidP="003E0C5E">
      <w:pPr>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2634BE">
        <w:rPr>
          <w:rFonts w:ascii="Arial" w:hAnsi="Arial" w:cs="Arial"/>
          <w:sz w:val="24"/>
          <w:szCs w:val="24"/>
        </w:rPr>
        <w:t xml:space="preserve">Further </w:t>
      </w:r>
      <w:r w:rsidR="0073173E">
        <w:rPr>
          <w:rFonts w:ascii="Arial" w:hAnsi="Arial" w:cs="Arial"/>
          <w:sz w:val="24"/>
          <w:szCs w:val="24"/>
        </w:rPr>
        <w:t>guidance is promised</w:t>
      </w:r>
      <w:r w:rsidR="00C9078C">
        <w:rPr>
          <w:rFonts w:ascii="Arial" w:hAnsi="Arial" w:cs="Arial"/>
          <w:sz w:val="24"/>
          <w:szCs w:val="24"/>
        </w:rPr>
        <w:t>, covering t</w:t>
      </w:r>
      <w:r w:rsidR="00C9078C" w:rsidRPr="00C9078C">
        <w:rPr>
          <w:rFonts w:ascii="Arial" w:hAnsi="Arial" w:cs="Arial"/>
          <w:sz w:val="24"/>
          <w:szCs w:val="24"/>
        </w:rPr>
        <w:t xml:space="preserve">he content, form and submission timetable </w:t>
      </w:r>
      <w:r w:rsidR="00C9078C" w:rsidRPr="003931C8">
        <w:rPr>
          <w:rFonts w:ascii="Arial" w:hAnsi="Arial" w:cs="Arial"/>
          <w:sz w:val="24"/>
          <w:szCs w:val="24"/>
        </w:rPr>
        <w:t>for Regeneration Plans</w:t>
      </w:r>
      <w:r w:rsidR="00BF2030" w:rsidRPr="003931C8">
        <w:rPr>
          <w:rFonts w:ascii="Arial" w:hAnsi="Arial" w:cs="Arial"/>
          <w:sz w:val="24"/>
          <w:szCs w:val="24"/>
        </w:rPr>
        <w:t xml:space="preserve"> but</w:t>
      </w:r>
      <w:r w:rsidR="00BF2030">
        <w:rPr>
          <w:rFonts w:ascii="Arial" w:hAnsi="Arial" w:cs="Arial"/>
          <w:sz w:val="24"/>
          <w:szCs w:val="24"/>
        </w:rPr>
        <w:t xml:space="preserve"> the following </w:t>
      </w:r>
      <w:r w:rsidR="001009EA">
        <w:rPr>
          <w:rFonts w:ascii="Arial" w:hAnsi="Arial" w:cs="Arial"/>
          <w:sz w:val="24"/>
          <w:szCs w:val="24"/>
        </w:rPr>
        <w:t>is reflected in the Prospectus:</w:t>
      </w:r>
    </w:p>
    <w:p w14:paraId="10C7ED47" w14:textId="1832E645" w:rsidR="001009EA" w:rsidRDefault="001009EA" w:rsidP="001009EA">
      <w:pPr>
        <w:pStyle w:val="ListParagraph"/>
        <w:numPr>
          <w:ilvl w:val="0"/>
          <w:numId w:val="12"/>
        </w:numPr>
        <w:rPr>
          <w:rFonts w:ascii="Arial" w:hAnsi="Arial" w:cs="Arial"/>
          <w:sz w:val="24"/>
          <w:szCs w:val="24"/>
        </w:rPr>
      </w:pPr>
      <w:r w:rsidRPr="001009EA">
        <w:rPr>
          <w:rFonts w:ascii="Arial" w:hAnsi="Arial" w:cs="Arial"/>
          <w:sz w:val="24"/>
          <w:szCs w:val="24"/>
        </w:rPr>
        <w:t>Neighbourhood Boards must work with local people and the local authority to draft a Regeneration Plan.</w:t>
      </w:r>
    </w:p>
    <w:p w14:paraId="0AE66800" w14:textId="5E10377C" w:rsidR="001009EA" w:rsidRDefault="004F37C7" w:rsidP="001009EA">
      <w:pPr>
        <w:pStyle w:val="ListParagraph"/>
        <w:numPr>
          <w:ilvl w:val="0"/>
          <w:numId w:val="12"/>
        </w:numPr>
        <w:rPr>
          <w:rFonts w:ascii="Arial" w:hAnsi="Arial" w:cs="Arial"/>
          <w:sz w:val="24"/>
          <w:szCs w:val="24"/>
        </w:rPr>
      </w:pPr>
      <w:r w:rsidRPr="004F37C7">
        <w:rPr>
          <w:rFonts w:ascii="Arial" w:hAnsi="Arial" w:cs="Arial"/>
          <w:sz w:val="24"/>
          <w:szCs w:val="24"/>
        </w:rPr>
        <w:lastRenderedPageBreak/>
        <w:t>Boards should work in partnership with their respective local authority and</w:t>
      </w:r>
      <w:r>
        <w:rPr>
          <w:rFonts w:ascii="Arial" w:hAnsi="Arial" w:cs="Arial"/>
          <w:sz w:val="24"/>
          <w:szCs w:val="24"/>
        </w:rPr>
        <w:t xml:space="preserve"> </w:t>
      </w:r>
      <w:r w:rsidRPr="004F37C7">
        <w:rPr>
          <w:rFonts w:ascii="Arial" w:hAnsi="Arial" w:cs="Arial"/>
          <w:sz w:val="24"/>
          <w:szCs w:val="24"/>
        </w:rPr>
        <w:t xml:space="preserve">ensure </w:t>
      </w:r>
      <w:r>
        <w:rPr>
          <w:rFonts w:ascii="Arial" w:hAnsi="Arial" w:cs="Arial"/>
          <w:sz w:val="24"/>
          <w:szCs w:val="24"/>
        </w:rPr>
        <w:t>EMCCA has</w:t>
      </w:r>
      <w:r w:rsidRPr="004F37C7">
        <w:rPr>
          <w:rFonts w:ascii="Arial" w:hAnsi="Arial" w:cs="Arial"/>
          <w:sz w:val="24"/>
          <w:szCs w:val="24"/>
        </w:rPr>
        <w:t xml:space="preserve"> been consulted</w:t>
      </w:r>
      <w:r>
        <w:rPr>
          <w:rFonts w:ascii="Arial" w:hAnsi="Arial" w:cs="Arial"/>
          <w:sz w:val="24"/>
          <w:szCs w:val="24"/>
        </w:rPr>
        <w:t>.</w:t>
      </w:r>
    </w:p>
    <w:p w14:paraId="7BF93E7F" w14:textId="56AE90CF" w:rsidR="004F37C7" w:rsidRDefault="00371CCB" w:rsidP="001009EA">
      <w:pPr>
        <w:pStyle w:val="ListParagraph"/>
        <w:numPr>
          <w:ilvl w:val="0"/>
          <w:numId w:val="12"/>
        </w:numPr>
        <w:rPr>
          <w:rFonts w:ascii="Arial" w:hAnsi="Arial" w:cs="Arial"/>
          <w:sz w:val="24"/>
          <w:szCs w:val="24"/>
        </w:rPr>
      </w:pPr>
      <w:r>
        <w:rPr>
          <w:rFonts w:ascii="Arial" w:hAnsi="Arial" w:cs="Arial"/>
          <w:sz w:val="24"/>
          <w:szCs w:val="24"/>
        </w:rPr>
        <w:t>B</w:t>
      </w:r>
      <w:r w:rsidRPr="00371CCB">
        <w:rPr>
          <w:rFonts w:ascii="Arial" w:hAnsi="Arial" w:cs="Arial"/>
          <w:sz w:val="24"/>
          <w:szCs w:val="24"/>
        </w:rPr>
        <w:t>oards will need to provide a detailed investment plan for the first 4-year investment period cycle, which will include the interventions the board would like to pursue over the period and how that activity delivers across the 3 strategic objectives</w:t>
      </w:r>
      <w:r>
        <w:rPr>
          <w:rFonts w:ascii="Arial" w:hAnsi="Arial" w:cs="Arial"/>
          <w:sz w:val="24"/>
          <w:szCs w:val="24"/>
        </w:rPr>
        <w:t>.</w:t>
      </w:r>
    </w:p>
    <w:p w14:paraId="5C662514" w14:textId="4545B598" w:rsidR="00371CCB" w:rsidRDefault="00073E8B" w:rsidP="001009EA">
      <w:pPr>
        <w:pStyle w:val="ListParagraph"/>
        <w:numPr>
          <w:ilvl w:val="0"/>
          <w:numId w:val="12"/>
        </w:numPr>
        <w:rPr>
          <w:rFonts w:ascii="Arial" w:hAnsi="Arial" w:cs="Arial"/>
          <w:sz w:val="24"/>
          <w:szCs w:val="24"/>
        </w:rPr>
      </w:pPr>
      <w:r w:rsidRPr="00073E8B">
        <w:rPr>
          <w:rFonts w:ascii="Arial" w:hAnsi="Arial" w:cs="Arial"/>
          <w:sz w:val="24"/>
          <w:szCs w:val="24"/>
        </w:rPr>
        <w:t>Boards will want the opportunity to iterate their proposals in response to community feedback, and establishing good governance and trust within the community takes time to build.</w:t>
      </w:r>
    </w:p>
    <w:p w14:paraId="76D9DD3F" w14:textId="0A834B13" w:rsidR="00F649C5" w:rsidRPr="00F649C5" w:rsidRDefault="00866B29" w:rsidP="00335BB4">
      <w:pPr>
        <w:pStyle w:val="ListParagraph"/>
        <w:numPr>
          <w:ilvl w:val="0"/>
          <w:numId w:val="12"/>
        </w:numPr>
        <w:rPr>
          <w:rFonts w:ascii="Arial" w:hAnsi="Arial" w:cs="Arial"/>
          <w:sz w:val="24"/>
          <w:szCs w:val="24"/>
        </w:rPr>
      </w:pPr>
      <w:r>
        <w:rPr>
          <w:rFonts w:ascii="Arial" w:hAnsi="Arial" w:cs="Arial"/>
          <w:sz w:val="24"/>
          <w:szCs w:val="24"/>
        </w:rPr>
        <w:t xml:space="preserve">The timeline is broad at this stage, </w:t>
      </w:r>
      <w:r w:rsidRPr="00335BB4">
        <w:rPr>
          <w:rFonts w:ascii="Arial" w:hAnsi="Arial" w:cs="Arial"/>
          <w:sz w:val="24"/>
          <w:szCs w:val="24"/>
        </w:rPr>
        <w:t xml:space="preserve">confirming </w:t>
      </w:r>
      <w:r w:rsidRPr="00335BB4">
        <w:rPr>
          <w:rFonts w:ascii="Arial" w:hAnsi="Arial" w:cs="Arial"/>
          <w:b/>
          <w:bCs/>
          <w:sz w:val="24"/>
          <w:szCs w:val="24"/>
        </w:rPr>
        <w:t>Spring to Winter 2025</w:t>
      </w:r>
      <w:r w:rsidR="00335BB4" w:rsidRPr="00335BB4">
        <w:rPr>
          <w:rFonts w:ascii="Arial" w:hAnsi="Arial" w:cs="Arial"/>
          <w:sz w:val="24"/>
          <w:szCs w:val="24"/>
        </w:rPr>
        <w:t xml:space="preserve"> for the s</w:t>
      </w:r>
      <w:r w:rsidRPr="00335BB4">
        <w:rPr>
          <w:rFonts w:ascii="Arial" w:hAnsi="Arial" w:cs="Arial"/>
          <w:sz w:val="24"/>
          <w:szCs w:val="24"/>
        </w:rPr>
        <w:t xml:space="preserve">ubmission of Regeneration Plans </w:t>
      </w:r>
      <w:r w:rsidR="007B006A">
        <w:rPr>
          <w:rFonts w:ascii="Arial" w:hAnsi="Arial" w:cs="Arial"/>
          <w:sz w:val="24"/>
          <w:szCs w:val="24"/>
        </w:rPr>
        <w:t xml:space="preserve">to </w:t>
      </w:r>
      <w:r w:rsidRPr="00335BB4">
        <w:rPr>
          <w:rFonts w:ascii="Arial" w:hAnsi="Arial" w:cs="Arial"/>
          <w:sz w:val="24"/>
          <w:szCs w:val="24"/>
        </w:rPr>
        <w:t>MHCLG</w:t>
      </w:r>
      <w:r w:rsidRPr="00866B29">
        <w:rPr>
          <w:rFonts w:ascii="Arial" w:hAnsi="Arial" w:cs="Arial"/>
          <w:sz w:val="24"/>
          <w:szCs w:val="24"/>
        </w:rPr>
        <w:t xml:space="preserve"> for assessment and approval.</w:t>
      </w:r>
    </w:p>
    <w:p w14:paraId="4F6661DE" w14:textId="1CF1174A" w:rsidR="00F649C5" w:rsidRDefault="003E0C5E" w:rsidP="003E0C5E">
      <w:pPr>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008446F7">
        <w:rPr>
          <w:rFonts w:ascii="Arial" w:hAnsi="Arial" w:cs="Arial"/>
          <w:sz w:val="24"/>
          <w:szCs w:val="24"/>
        </w:rPr>
        <w:t xml:space="preserve">The </w:t>
      </w:r>
      <w:r w:rsidR="00657D58">
        <w:rPr>
          <w:rFonts w:ascii="Arial" w:hAnsi="Arial" w:cs="Arial"/>
          <w:sz w:val="24"/>
          <w:szCs w:val="24"/>
        </w:rPr>
        <w:t xml:space="preserve">Place Board </w:t>
      </w:r>
      <w:r w:rsidR="00F649C5">
        <w:rPr>
          <w:rFonts w:ascii="Arial" w:hAnsi="Arial" w:cs="Arial"/>
          <w:sz w:val="24"/>
          <w:szCs w:val="24"/>
        </w:rPr>
        <w:t xml:space="preserve">developed a Vision and Investment Plan in readiness for the LTPT.  While this can and will be reviewed </w:t>
      </w:r>
      <w:r w:rsidR="00261778">
        <w:rPr>
          <w:rFonts w:ascii="Arial" w:hAnsi="Arial" w:cs="Arial"/>
          <w:sz w:val="24"/>
          <w:szCs w:val="24"/>
        </w:rPr>
        <w:t>in the light of the anticipate</w:t>
      </w:r>
      <w:r w:rsidR="00154185">
        <w:rPr>
          <w:rFonts w:ascii="Arial" w:hAnsi="Arial" w:cs="Arial"/>
          <w:sz w:val="24"/>
          <w:szCs w:val="24"/>
        </w:rPr>
        <w:t>d</w:t>
      </w:r>
      <w:r w:rsidR="00261778">
        <w:rPr>
          <w:rFonts w:ascii="Arial" w:hAnsi="Arial" w:cs="Arial"/>
          <w:sz w:val="24"/>
          <w:szCs w:val="24"/>
        </w:rPr>
        <w:t xml:space="preserve"> guidance, it offers the basis for </w:t>
      </w:r>
      <w:r w:rsidR="00154185">
        <w:rPr>
          <w:rFonts w:ascii="Arial" w:hAnsi="Arial" w:cs="Arial"/>
          <w:sz w:val="24"/>
          <w:szCs w:val="24"/>
        </w:rPr>
        <w:t xml:space="preserve">progressing the Plan. </w:t>
      </w:r>
    </w:p>
    <w:p w14:paraId="6AAB79D8" w14:textId="64D9FAE9" w:rsidR="00335BB4" w:rsidRDefault="003E0C5E" w:rsidP="003E0C5E">
      <w:pPr>
        <w:ind w:left="720" w:hanging="720"/>
        <w:rPr>
          <w:rFonts w:ascii="Arial" w:hAnsi="Arial" w:cs="Arial"/>
          <w:sz w:val="24"/>
          <w:szCs w:val="24"/>
        </w:rPr>
      </w:pPr>
      <w:r>
        <w:rPr>
          <w:rFonts w:ascii="Arial" w:hAnsi="Arial" w:cs="Arial"/>
          <w:sz w:val="24"/>
          <w:szCs w:val="24"/>
        </w:rPr>
        <w:t>6.3</w:t>
      </w:r>
      <w:r>
        <w:rPr>
          <w:rFonts w:ascii="Arial" w:hAnsi="Arial" w:cs="Arial"/>
          <w:sz w:val="24"/>
          <w:szCs w:val="24"/>
        </w:rPr>
        <w:tab/>
      </w:r>
      <w:r w:rsidR="00781A8A">
        <w:rPr>
          <w:rFonts w:ascii="Arial" w:hAnsi="Arial" w:cs="Arial"/>
          <w:sz w:val="24"/>
          <w:szCs w:val="24"/>
        </w:rPr>
        <w:t xml:space="preserve">Important too; the list of </w:t>
      </w:r>
      <w:r w:rsidR="00781A8A" w:rsidRPr="007B006A">
        <w:rPr>
          <w:rFonts w:ascii="Arial" w:hAnsi="Arial" w:cs="Arial"/>
          <w:b/>
          <w:bCs/>
          <w:sz w:val="24"/>
          <w:szCs w:val="24"/>
        </w:rPr>
        <w:t>“pre-approved interventions”</w:t>
      </w:r>
      <w:r w:rsidR="00781A8A">
        <w:rPr>
          <w:rFonts w:ascii="Arial" w:hAnsi="Arial" w:cs="Arial"/>
          <w:sz w:val="24"/>
          <w:szCs w:val="24"/>
        </w:rPr>
        <w:t xml:space="preserve"> has been greatly extended.  </w:t>
      </w:r>
      <w:r w:rsidR="001C37C1">
        <w:rPr>
          <w:rFonts w:ascii="Arial" w:hAnsi="Arial" w:cs="Arial"/>
          <w:sz w:val="24"/>
          <w:szCs w:val="24"/>
        </w:rPr>
        <w:t xml:space="preserve">The </w:t>
      </w:r>
      <w:r w:rsidR="00B703AD">
        <w:rPr>
          <w:rFonts w:ascii="Arial" w:hAnsi="Arial" w:cs="Arial"/>
          <w:sz w:val="24"/>
          <w:szCs w:val="24"/>
        </w:rPr>
        <w:t>i</w:t>
      </w:r>
      <w:r w:rsidR="001C37C1">
        <w:rPr>
          <w:rFonts w:ascii="Arial" w:hAnsi="Arial" w:cs="Arial"/>
          <w:sz w:val="24"/>
          <w:szCs w:val="24"/>
        </w:rPr>
        <w:t>dea with this (</w:t>
      </w:r>
      <w:r w:rsidR="00617B58">
        <w:rPr>
          <w:rFonts w:ascii="Arial" w:hAnsi="Arial" w:cs="Arial"/>
          <w:sz w:val="24"/>
          <w:szCs w:val="24"/>
        </w:rPr>
        <w:t xml:space="preserve">published </w:t>
      </w:r>
      <w:r w:rsidR="001C37C1">
        <w:rPr>
          <w:rFonts w:ascii="Arial" w:hAnsi="Arial" w:cs="Arial"/>
          <w:sz w:val="24"/>
          <w:szCs w:val="24"/>
        </w:rPr>
        <w:t xml:space="preserve">as a </w:t>
      </w:r>
      <w:r w:rsidR="00B703AD">
        <w:rPr>
          <w:rFonts w:ascii="Arial" w:hAnsi="Arial" w:cs="Arial"/>
          <w:sz w:val="24"/>
          <w:szCs w:val="24"/>
        </w:rPr>
        <w:t xml:space="preserve">separate document) is that </w:t>
      </w:r>
      <w:r w:rsidR="00B46666">
        <w:rPr>
          <w:rFonts w:ascii="Arial" w:hAnsi="Arial" w:cs="Arial"/>
          <w:sz w:val="24"/>
          <w:szCs w:val="24"/>
        </w:rPr>
        <w:t xml:space="preserve">it offers </w:t>
      </w:r>
      <w:r w:rsidR="00617B58">
        <w:rPr>
          <w:rFonts w:ascii="Arial" w:hAnsi="Arial" w:cs="Arial"/>
          <w:sz w:val="24"/>
          <w:szCs w:val="24"/>
        </w:rPr>
        <w:t xml:space="preserve">a degree of </w:t>
      </w:r>
      <w:r w:rsidR="00B46666" w:rsidRPr="00B46666">
        <w:rPr>
          <w:rFonts w:ascii="Arial" w:hAnsi="Arial" w:cs="Arial"/>
          <w:sz w:val="24"/>
          <w:szCs w:val="24"/>
        </w:rPr>
        <w:t>autonomy such that, if that activity can be evidenced as a clear priority of the community, it can be pursued without the need to provide a lengthy business case</w:t>
      </w:r>
      <w:r w:rsidR="00657D58">
        <w:rPr>
          <w:rFonts w:ascii="Arial" w:hAnsi="Arial" w:cs="Arial"/>
          <w:sz w:val="24"/>
          <w:szCs w:val="24"/>
        </w:rPr>
        <w:t xml:space="preserve"> to MHCLG</w:t>
      </w:r>
      <w:r w:rsidR="00B46666" w:rsidRPr="00B46666">
        <w:rPr>
          <w:rFonts w:ascii="Arial" w:hAnsi="Arial" w:cs="Arial"/>
          <w:sz w:val="24"/>
          <w:szCs w:val="24"/>
        </w:rPr>
        <w:t>.</w:t>
      </w:r>
    </w:p>
    <w:p w14:paraId="36D2CD3B" w14:textId="486D2B1A" w:rsidR="00682E76" w:rsidRDefault="00A90E13" w:rsidP="00A90E13">
      <w:pPr>
        <w:ind w:left="720" w:hanging="720"/>
        <w:rPr>
          <w:rFonts w:ascii="Arial" w:hAnsi="Arial" w:cs="Arial"/>
          <w:sz w:val="24"/>
          <w:szCs w:val="24"/>
        </w:rPr>
      </w:pPr>
      <w:r>
        <w:rPr>
          <w:rFonts w:ascii="Arial" w:hAnsi="Arial" w:cs="Arial"/>
          <w:sz w:val="24"/>
          <w:szCs w:val="24"/>
        </w:rPr>
        <w:t>6.4</w:t>
      </w:r>
      <w:r>
        <w:rPr>
          <w:rFonts w:ascii="Arial" w:hAnsi="Arial" w:cs="Arial"/>
          <w:sz w:val="24"/>
          <w:szCs w:val="24"/>
        </w:rPr>
        <w:tab/>
      </w:r>
      <w:r w:rsidR="00682E76">
        <w:rPr>
          <w:rFonts w:ascii="Arial" w:hAnsi="Arial" w:cs="Arial"/>
          <w:sz w:val="24"/>
          <w:szCs w:val="24"/>
        </w:rPr>
        <w:t>The fact that so many interventions are included is a positive but also a challenge in that:</w:t>
      </w:r>
    </w:p>
    <w:p w14:paraId="523789EF" w14:textId="345DAE98" w:rsidR="00555D00" w:rsidRDefault="00682E76" w:rsidP="00555D00">
      <w:pPr>
        <w:pStyle w:val="ListParagraph"/>
        <w:numPr>
          <w:ilvl w:val="0"/>
          <w:numId w:val="11"/>
        </w:numPr>
        <w:rPr>
          <w:rFonts w:ascii="Arial" w:hAnsi="Arial" w:cs="Arial"/>
          <w:sz w:val="24"/>
          <w:szCs w:val="24"/>
        </w:rPr>
      </w:pPr>
      <w:r>
        <w:rPr>
          <w:rFonts w:ascii="Arial" w:hAnsi="Arial" w:cs="Arial"/>
          <w:sz w:val="24"/>
          <w:szCs w:val="24"/>
        </w:rPr>
        <w:t xml:space="preserve">As </w:t>
      </w:r>
      <w:r w:rsidR="00033D2A">
        <w:rPr>
          <w:rFonts w:ascii="Arial" w:hAnsi="Arial" w:cs="Arial"/>
          <w:sz w:val="24"/>
          <w:szCs w:val="24"/>
        </w:rPr>
        <w:t xml:space="preserve">the </w:t>
      </w:r>
      <w:r>
        <w:rPr>
          <w:rFonts w:ascii="Arial" w:hAnsi="Arial" w:cs="Arial"/>
          <w:sz w:val="24"/>
          <w:szCs w:val="24"/>
        </w:rPr>
        <w:t xml:space="preserve">accountable body with </w:t>
      </w:r>
      <w:r w:rsidR="00C20D38">
        <w:rPr>
          <w:rFonts w:ascii="Arial" w:hAnsi="Arial" w:cs="Arial"/>
          <w:sz w:val="24"/>
          <w:szCs w:val="24"/>
        </w:rPr>
        <w:t>responsibility</w:t>
      </w:r>
      <w:r>
        <w:rPr>
          <w:rFonts w:ascii="Arial" w:hAnsi="Arial" w:cs="Arial"/>
          <w:sz w:val="24"/>
          <w:szCs w:val="24"/>
        </w:rPr>
        <w:t xml:space="preserve"> for </w:t>
      </w:r>
      <w:r w:rsidR="00C20D38">
        <w:rPr>
          <w:rFonts w:ascii="Arial" w:hAnsi="Arial" w:cs="Arial"/>
          <w:sz w:val="24"/>
          <w:szCs w:val="24"/>
        </w:rPr>
        <w:t>managing the finances</w:t>
      </w:r>
      <w:r w:rsidR="00832560">
        <w:rPr>
          <w:rFonts w:ascii="Arial" w:hAnsi="Arial" w:cs="Arial"/>
          <w:sz w:val="24"/>
          <w:szCs w:val="24"/>
        </w:rPr>
        <w:t xml:space="preserve"> in line with its Fin</w:t>
      </w:r>
      <w:r w:rsidR="00A90E13">
        <w:rPr>
          <w:rFonts w:ascii="Arial" w:hAnsi="Arial" w:cs="Arial"/>
          <w:sz w:val="24"/>
          <w:szCs w:val="24"/>
        </w:rPr>
        <w:t>ancial</w:t>
      </w:r>
      <w:r w:rsidR="00832560">
        <w:rPr>
          <w:rFonts w:ascii="Arial" w:hAnsi="Arial" w:cs="Arial"/>
          <w:sz w:val="24"/>
          <w:szCs w:val="24"/>
        </w:rPr>
        <w:t xml:space="preserve"> Reg</w:t>
      </w:r>
      <w:r w:rsidR="00A90E13">
        <w:rPr>
          <w:rFonts w:ascii="Arial" w:hAnsi="Arial" w:cs="Arial"/>
          <w:sz w:val="24"/>
          <w:szCs w:val="24"/>
        </w:rPr>
        <w:t>ulations</w:t>
      </w:r>
      <w:r w:rsidR="00832560">
        <w:rPr>
          <w:rFonts w:ascii="Arial" w:hAnsi="Arial" w:cs="Arial"/>
          <w:sz w:val="24"/>
          <w:szCs w:val="24"/>
        </w:rPr>
        <w:t xml:space="preserve"> and constitution, </w:t>
      </w:r>
      <w:r w:rsidR="00024EFB">
        <w:rPr>
          <w:rFonts w:ascii="Arial" w:hAnsi="Arial" w:cs="Arial"/>
          <w:sz w:val="24"/>
          <w:szCs w:val="24"/>
        </w:rPr>
        <w:t>appropriate due diligence</w:t>
      </w:r>
      <w:r w:rsidR="00033D2A">
        <w:rPr>
          <w:rFonts w:ascii="Arial" w:hAnsi="Arial" w:cs="Arial"/>
          <w:sz w:val="24"/>
          <w:szCs w:val="24"/>
        </w:rPr>
        <w:t xml:space="preserve"> is required</w:t>
      </w:r>
      <w:r w:rsidR="00024EFB">
        <w:rPr>
          <w:rFonts w:ascii="Arial" w:hAnsi="Arial" w:cs="Arial"/>
          <w:sz w:val="24"/>
          <w:szCs w:val="24"/>
        </w:rPr>
        <w:t>.</w:t>
      </w:r>
    </w:p>
    <w:p w14:paraId="0E2356A3" w14:textId="77777777" w:rsidR="00555D00" w:rsidRDefault="00024EFB" w:rsidP="00555D00">
      <w:pPr>
        <w:pStyle w:val="ListParagraph"/>
        <w:numPr>
          <w:ilvl w:val="0"/>
          <w:numId w:val="11"/>
        </w:numPr>
        <w:rPr>
          <w:rFonts w:ascii="Arial" w:hAnsi="Arial" w:cs="Arial"/>
          <w:sz w:val="24"/>
          <w:szCs w:val="24"/>
        </w:rPr>
      </w:pPr>
      <w:r w:rsidRPr="00555D00">
        <w:rPr>
          <w:rFonts w:ascii="Arial" w:hAnsi="Arial" w:cs="Arial"/>
          <w:sz w:val="24"/>
          <w:szCs w:val="24"/>
        </w:rPr>
        <w:t xml:space="preserve">Offering so many potential </w:t>
      </w:r>
      <w:r w:rsidR="000F4EE5" w:rsidRPr="00555D00">
        <w:rPr>
          <w:rFonts w:ascii="Arial" w:hAnsi="Arial" w:cs="Arial"/>
          <w:sz w:val="24"/>
          <w:szCs w:val="24"/>
        </w:rPr>
        <w:t>projects in this way may le</w:t>
      </w:r>
      <w:r w:rsidR="00832560" w:rsidRPr="00555D00">
        <w:rPr>
          <w:rFonts w:ascii="Arial" w:hAnsi="Arial" w:cs="Arial"/>
          <w:sz w:val="24"/>
          <w:szCs w:val="24"/>
        </w:rPr>
        <w:t>ad</w:t>
      </w:r>
      <w:r w:rsidR="000F4EE5" w:rsidRPr="00555D00">
        <w:rPr>
          <w:rFonts w:ascii="Arial" w:hAnsi="Arial" w:cs="Arial"/>
          <w:sz w:val="24"/>
          <w:szCs w:val="24"/>
        </w:rPr>
        <w:t xml:space="preserve"> </w:t>
      </w:r>
      <w:r w:rsidR="00832560" w:rsidRPr="00555D00">
        <w:rPr>
          <w:rFonts w:ascii="Arial" w:hAnsi="Arial" w:cs="Arial"/>
          <w:sz w:val="24"/>
          <w:szCs w:val="24"/>
        </w:rPr>
        <w:t>t</w:t>
      </w:r>
      <w:r w:rsidR="000F4EE5" w:rsidRPr="00555D00">
        <w:rPr>
          <w:rFonts w:ascii="Arial" w:hAnsi="Arial" w:cs="Arial"/>
          <w:sz w:val="24"/>
          <w:szCs w:val="24"/>
        </w:rPr>
        <w:t>o increased expectations, especially as most of the interventions</w:t>
      </w:r>
      <w:r w:rsidR="00FF5865" w:rsidRPr="00555D00">
        <w:rPr>
          <w:rFonts w:ascii="Arial" w:hAnsi="Arial" w:cs="Arial"/>
          <w:sz w:val="24"/>
          <w:szCs w:val="24"/>
        </w:rPr>
        <w:t xml:space="preserve"> largely</w:t>
      </w:r>
      <w:r w:rsidR="000F4EE5" w:rsidRPr="00555D00">
        <w:rPr>
          <w:rFonts w:ascii="Arial" w:hAnsi="Arial" w:cs="Arial"/>
          <w:sz w:val="24"/>
          <w:szCs w:val="24"/>
        </w:rPr>
        <w:t xml:space="preserve"> require revenue rather than capital funding which </w:t>
      </w:r>
      <w:r w:rsidR="00CC0FD9" w:rsidRPr="00555D00">
        <w:rPr>
          <w:rFonts w:ascii="Arial" w:hAnsi="Arial" w:cs="Arial"/>
          <w:sz w:val="24"/>
          <w:szCs w:val="24"/>
        </w:rPr>
        <w:t>is already fixed.</w:t>
      </w:r>
    </w:p>
    <w:p w14:paraId="26B4360E" w14:textId="0BA2C925" w:rsidR="005C35D8" w:rsidRPr="00555D00" w:rsidRDefault="005C35D8" w:rsidP="00A90E13">
      <w:pPr>
        <w:pStyle w:val="ListParagraph"/>
        <w:spacing w:after="0"/>
        <w:rPr>
          <w:rFonts w:ascii="Arial" w:hAnsi="Arial" w:cs="Arial"/>
          <w:sz w:val="24"/>
          <w:szCs w:val="24"/>
        </w:rPr>
      </w:pPr>
    </w:p>
    <w:p w14:paraId="0AB91A8F" w14:textId="4F7E8B6B" w:rsidR="000A5328" w:rsidRPr="00033D2A" w:rsidRDefault="00A90E13" w:rsidP="00033D2A">
      <w:pPr>
        <w:rPr>
          <w:rFonts w:ascii="Arial" w:hAnsi="Arial" w:cs="Arial"/>
          <w:sz w:val="24"/>
          <w:szCs w:val="24"/>
        </w:rPr>
      </w:pPr>
      <w:r>
        <w:rPr>
          <w:rFonts w:ascii="Arial" w:hAnsi="Arial" w:cs="Arial"/>
          <w:b/>
          <w:bCs/>
          <w:sz w:val="24"/>
          <w:szCs w:val="24"/>
        </w:rPr>
        <w:t>7</w:t>
      </w:r>
      <w:r>
        <w:rPr>
          <w:rFonts w:ascii="Arial" w:hAnsi="Arial" w:cs="Arial"/>
          <w:b/>
          <w:bCs/>
          <w:sz w:val="24"/>
          <w:szCs w:val="24"/>
        </w:rPr>
        <w:tab/>
      </w:r>
      <w:r w:rsidR="000A5328" w:rsidRPr="00033D2A">
        <w:rPr>
          <w:rFonts w:ascii="Arial" w:hAnsi="Arial" w:cs="Arial"/>
          <w:b/>
          <w:bCs/>
          <w:sz w:val="24"/>
          <w:szCs w:val="24"/>
        </w:rPr>
        <w:t>Community Engagement</w:t>
      </w:r>
    </w:p>
    <w:p w14:paraId="013335ED" w14:textId="48D1E7A8" w:rsidR="00FF5865" w:rsidRDefault="00A90E13" w:rsidP="00A90E13">
      <w:pPr>
        <w:ind w:left="720" w:hanging="720"/>
        <w:rPr>
          <w:rFonts w:ascii="Arial" w:hAnsi="Arial" w:cs="Arial"/>
          <w:sz w:val="24"/>
          <w:szCs w:val="24"/>
        </w:rPr>
      </w:pPr>
      <w:r>
        <w:rPr>
          <w:rFonts w:ascii="Arial" w:hAnsi="Arial" w:cs="Arial"/>
          <w:sz w:val="24"/>
          <w:szCs w:val="24"/>
        </w:rPr>
        <w:t>7.1</w:t>
      </w:r>
      <w:r>
        <w:rPr>
          <w:rFonts w:ascii="Arial" w:hAnsi="Arial" w:cs="Arial"/>
          <w:sz w:val="24"/>
          <w:szCs w:val="24"/>
        </w:rPr>
        <w:tab/>
      </w:r>
      <w:r w:rsidR="00FF5865" w:rsidRPr="00FF5865">
        <w:rPr>
          <w:rFonts w:ascii="Arial" w:hAnsi="Arial" w:cs="Arial"/>
          <w:sz w:val="24"/>
          <w:szCs w:val="24"/>
        </w:rPr>
        <w:t xml:space="preserve">This section is arguably the most enhanced from LTPT.  </w:t>
      </w:r>
      <w:r w:rsidR="00A5699B">
        <w:rPr>
          <w:rFonts w:ascii="Arial" w:hAnsi="Arial" w:cs="Arial"/>
          <w:sz w:val="24"/>
          <w:szCs w:val="24"/>
        </w:rPr>
        <w:t>It</w:t>
      </w:r>
      <w:r w:rsidR="00405338">
        <w:rPr>
          <w:rFonts w:ascii="Arial" w:hAnsi="Arial" w:cs="Arial"/>
          <w:sz w:val="24"/>
          <w:szCs w:val="24"/>
        </w:rPr>
        <w:t xml:space="preserve"> looks to go beyond the usual consultation methods and actively engage </w:t>
      </w:r>
      <w:r w:rsidR="00A5699B">
        <w:rPr>
          <w:rFonts w:ascii="Arial" w:hAnsi="Arial" w:cs="Arial"/>
          <w:sz w:val="24"/>
          <w:szCs w:val="24"/>
        </w:rPr>
        <w:t>wit</w:t>
      </w:r>
      <w:r w:rsidR="009B6B3B">
        <w:rPr>
          <w:rFonts w:ascii="Arial" w:hAnsi="Arial" w:cs="Arial"/>
          <w:sz w:val="24"/>
          <w:szCs w:val="24"/>
        </w:rPr>
        <w:t xml:space="preserve">h </w:t>
      </w:r>
      <w:r w:rsidR="00F051F7">
        <w:rPr>
          <w:rFonts w:ascii="Arial" w:hAnsi="Arial" w:cs="Arial"/>
          <w:sz w:val="24"/>
          <w:szCs w:val="24"/>
        </w:rPr>
        <w:t xml:space="preserve">localities within the defined area.  The focus on the most deprived </w:t>
      </w:r>
      <w:r w:rsidR="00E3287C">
        <w:rPr>
          <w:rFonts w:ascii="Arial" w:hAnsi="Arial" w:cs="Arial"/>
          <w:sz w:val="24"/>
          <w:szCs w:val="24"/>
        </w:rPr>
        <w:t xml:space="preserve">area </w:t>
      </w:r>
      <w:r w:rsidR="00F051F7">
        <w:rPr>
          <w:rFonts w:ascii="Arial" w:hAnsi="Arial" w:cs="Arial"/>
          <w:sz w:val="24"/>
          <w:szCs w:val="24"/>
        </w:rPr>
        <w:t xml:space="preserve">merits discussion within </w:t>
      </w:r>
      <w:r w:rsidR="00E3287C">
        <w:rPr>
          <w:rFonts w:ascii="Arial" w:hAnsi="Arial" w:cs="Arial"/>
          <w:sz w:val="24"/>
          <w:szCs w:val="24"/>
        </w:rPr>
        <w:t>the</w:t>
      </w:r>
      <w:r w:rsidR="00F051F7">
        <w:rPr>
          <w:rFonts w:ascii="Arial" w:hAnsi="Arial" w:cs="Arial"/>
          <w:sz w:val="24"/>
          <w:szCs w:val="24"/>
        </w:rPr>
        <w:t xml:space="preserve"> defined (or to be redefined) area</w:t>
      </w:r>
      <w:r w:rsidR="00302404">
        <w:rPr>
          <w:rFonts w:ascii="Arial" w:hAnsi="Arial" w:cs="Arial"/>
          <w:sz w:val="24"/>
          <w:szCs w:val="24"/>
        </w:rPr>
        <w:t xml:space="preserve"> and how that might be enabled.  </w:t>
      </w:r>
    </w:p>
    <w:p w14:paraId="764C5927" w14:textId="0EAFEDCF" w:rsidR="00BD2703" w:rsidRPr="00BD2703" w:rsidRDefault="00A90E13" w:rsidP="00A90E13">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r>
      <w:r w:rsidR="00302404">
        <w:rPr>
          <w:rFonts w:ascii="Arial" w:hAnsi="Arial" w:cs="Arial"/>
          <w:sz w:val="24"/>
          <w:szCs w:val="24"/>
        </w:rPr>
        <w:t xml:space="preserve">This section and the </w:t>
      </w:r>
      <w:r w:rsidR="0008508D">
        <w:rPr>
          <w:rFonts w:ascii="Arial" w:hAnsi="Arial" w:cs="Arial"/>
          <w:sz w:val="24"/>
          <w:szCs w:val="24"/>
        </w:rPr>
        <w:t>best practice examples</w:t>
      </w:r>
      <w:r w:rsidR="00302404">
        <w:rPr>
          <w:rFonts w:ascii="Arial" w:hAnsi="Arial" w:cs="Arial"/>
          <w:sz w:val="24"/>
          <w:szCs w:val="24"/>
        </w:rPr>
        <w:t xml:space="preserve"> offered </w:t>
      </w:r>
      <w:r w:rsidR="00BD2703">
        <w:rPr>
          <w:rFonts w:ascii="Arial" w:hAnsi="Arial" w:cs="Arial"/>
          <w:sz w:val="24"/>
          <w:szCs w:val="24"/>
        </w:rPr>
        <w:t xml:space="preserve">merit consideration with partners, not least the MCVS. It is suggested </w:t>
      </w:r>
      <w:r w:rsidR="008745B8">
        <w:rPr>
          <w:rFonts w:ascii="Arial" w:hAnsi="Arial" w:cs="Arial"/>
          <w:sz w:val="24"/>
          <w:szCs w:val="24"/>
        </w:rPr>
        <w:t xml:space="preserve">that this offers an opportunity to </w:t>
      </w:r>
      <w:r w:rsidR="001F3BC0">
        <w:rPr>
          <w:rFonts w:ascii="Arial" w:hAnsi="Arial" w:cs="Arial"/>
          <w:sz w:val="24"/>
          <w:szCs w:val="24"/>
        </w:rPr>
        <w:t>reflect</w:t>
      </w:r>
      <w:r w:rsidR="008745B8">
        <w:rPr>
          <w:rFonts w:ascii="Arial" w:hAnsi="Arial" w:cs="Arial"/>
          <w:sz w:val="24"/>
          <w:szCs w:val="24"/>
        </w:rPr>
        <w:t xml:space="preserve"> on active </w:t>
      </w:r>
      <w:r w:rsidR="001F3BC0">
        <w:rPr>
          <w:rFonts w:ascii="Arial" w:hAnsi="Arial" w:cs="Arial"/>
          <w:sz w:val="24"/>
          <w:szCs w:val="24"/>
        </w:rPr>
        <w:t>participation</w:t>
      </w:r>
      <w:r w:rsidR="008745B8">
        <w:rPr>
          <w:rFonts w:ascii="Arial" w:hAnsi="Arial" w:cs="Arial"/>
          <w:sz w:val="24"/>
          <w:szCs w:val="24"/>
        </w:rPr>
        <w:t xml:space="preserve"> </w:t>
      </w:r>
      <w:r w:rsidR="001F3BC0">
        <w:rPr>
          <w:rFonts w:ascii="Arial" w:hAnsi="Arial" w:cs="Arial"/>
          <w:sz w:val="24"/>
          <w:szCs w:val="24"/>
        </w:rPr>
        <w:t>i</w:t>
      </w:r>
      <w:r w:rsidR="008745B8">
        <w:rPr>
          <w:rFonts w:ascii="Arial" w:hAnsi="Arial" w:cs="Arial"/>
          <w:sz w:val="24"/>
          <w:szCs w:val="24"/>
        </w:rPr>
        <w:t xml:space="preserve">n the process and </w:t>
      </w:r>
      <w:r w:rsidR="001F3BC0">
        <w:rPr>
          <w:rFonts w:ascii="Arial" w:hAnsi="Arial" w:cs="Arial"/>
          <w:sz w:val="24"/>
          <w:szCs w:val="24"/>
        </w:rPr>
        <w:t>how</w:t>
      </w:r>
      <w:r w:rsidR="008745B8">
        <w:rPr>
          <w:rFonts w:ascii="Arial" w:hAnsi="Arial" w:cs="Arial"/>
          <w:sz w:val="24"/>
          <w:szCs w:val="24"/>
        </w:rPr>
        <w:t xml:space="preserve"> capacity </w:t>
      </w:r>
      <w:r w:rsidR="001F3BC0">
        <w:rPr>
          <w:rFonts w:ascii="Arial" w:hAnsi="Arial" w:cs="Arial"/>
          <w:sz w:val="24"/>
          <w:szCs w:val="24"/>
        </w:rPr>
        <w:t xml:space="preserve">/ ownership </w:t>
      </w:r>
      <w:r w:rsidR="008745B8">
        <w:rPr>
          <w:rFonts w:ascii="Arial" w:hAnsi="Arial" w:cs="Arial"/>
          <w:sz w:val="24"/>
          <w:szCs w:val="24"/>
        </w:rPr>
        <w:t xml:space="preserve">can be facilitated in the </w:t>
      </w:r>
      <w:r w:rsidR="001F3BC0">
        <w:rPr>
          <w:rFonts w:ascii="Arial" w:hAnsi="Arial" w:cs="Arial"/>
          <w:sz w:val="24"/>
          <w:szCs w:val="24"/>
        </w:rPr>
        <w:t>longer</w:t>
      </w:r>
      <w:r w:rsidR="008745B8">
        <w:rPr>
          <w:rFonts w:ascii="Arial" w:hAnsi="Arial" w:cs="Arial"/>
          <w:sz w:val="24"/>
          <w:szCs w:val="24"/>
        </w:rPr>
        <w:t xml:space="preserve"> term</w:t>
      </w:r>
      <w:r w:rsidR="001F3BC0">
        <w:rPr>
          <w:rFonts w:ascii="Arial" w:hAnsi="Arial" w:cs="Arial"/>
          <w:sz w:val="24"/>
          <w:szCs w:val="24"/>
        </w:rPr>
        <w:t>.</w:t>
      </w:r>
      <w:r w:rsidR="008745B8">
        <w:rPr>
          <w:rFonts w:ascii="Arial" w:hAnsi="Arial" w:cs="Arial"/>
          <w:sz w:val="24"/>
          <w:szCs w:val="24"/>
        </w:rPr>
        <w:t xml:space="preserve"> </w:t>
      </w:r>
    </w:p>
    <w:p w14:paraId="729F32AA" w14:textId="3313FB4C" w:rsidR="007B006A" w:rsidRPr="008351B4" w:rsidRDefault="00A90E13" w:rsidP="008351B4">
      <w:pPr>
        <w:rPr>
          <w:rFonts w:ascii="Arial" w:hAnsi="Arial" w:cs="Arial"/>
          <w:b/>
          <w:bCs/>
          <w:sz w:val="24"/>
          <w:szCs w:val="24"/>
        </w:rPr>
      </w:pPr>
      <w:r>
        <w:rPr>
          <w:rFonts w:ascii="Arial" w:hAnsi="Arial" w:cs="Arial"/>
          <w:b/>
          <w:bCs/>
          <w:sz w:val="24"/>
          <w:szCs w:val="24"/>
        </w:rPr>
        <w:t>8</w:t>
      </w:r>
      <w:r>
        <w:rPr>
          <w:rFonts w:ascii="Arial" w:hAnsi="Arial" w:cs="Arial"/>
          <w:b/>
          <w:bCs/>
          <w:sz w:val="24"/>
          <w:szCs w:val="24"/>
        </w:rPr>
        <w:tab/>
      </w:r>
      <w:r w:rsidR="007B006A" w:rsidRPr="008351B4">
        <w:rPr>
          <w:rFonts w:ascii="Arial" w:hAnsi="Arial" w:cs="Arial"/>
          <w:b/>
          <w:bCs/>
          <w:sz w:val="24"/>
          <w:szCs w:val="24"/>
        </w:rPr>
        <w:t>Wider Aspects</w:t>
      </w:r>
    </w:p>
    <w:p w14:paraId="20A40B9B" w14:textId="130D3B95" w:rsidR="00471958" w:rsidRPr="00471958" w:rsidRDefault="00A90E13" w:rsidP="007B006A">
      <w:pPr>
        <w:pStyle w:val="ListParagraph"/>
        <w:ind w:left="0"/>
        <w:rPr>
          <w:rFonts w:ascii="Arial" w:hAnsi="Arial" w:cs="Arial"/>
          <w:sz w:val="24"/>
          <w:szCs w:val="24"/>
        </w:rPr>
      </w:pPr>
      <w:r>
        <w:rPr>
          <w:rFonts w:ascii="Arial" w:hAnsi="Arial" w:cs="Arial"/>
          <w:sz w:val="24"/>
          <w:szCs w:val="24"/>
        </w:rPr>
        <w:t>8.1</w:t>
      </w:r>
      <w:r>
        <w:rPr>
          <w:rFonts w:ascii="Arial" w:hAnsi="Arial" w:cs="Arial"/>
          <w:sz w:val="24"/>
          <w:szCs w:val="24"/>
        </w:rPr>
        <w:tab/>
      </w:r>
      <w:r w:rsidR="00471958" w:rsidRPr="00471958">
        <w:rPr>
          <w:rFonts w:ascii="Arial" w:hAnsi="Arial" w:cs="Arial"/>
          <w:sz w:val="24"/>
          <w:szCs w:val="24"/>
        </w:rPr>
        <w:t>The following aspects merit reference at this stage.</w:t>
      </w:r>
    </w:p>
    <w:p w14:paraId="42C3F97A" w14:textId="77777777" w:rsidR="00471958" w:rsidRDefault="00471958" w:rsidP="007B006A">
      <w:pPr>
        <w:pStyle w:val="ListParagraph"/>
        <w:ind w:left="0"/>
        <w:rPr>
          <w:rFonts w:ascii="Arial" w:hAnsi="Arial" w:cs="Arial"/>
          <w:b/>
          <w:bCs/>
          <w:sz w:val="24"/>
          <w:szCs w:val="24"/>
        </w:rPr>
      </w:pPr>
    </w:p>
    <w:p w14:paraId="266C694B" w14:textId="5D509EEC" w:rsidR="00691835" w:rsidRDefault="007B006A" w:rsidP="00A90E13">
      <w:pPr>
        <w:pStyle w:val="ListParagraph"/>
        <w:rPr>
          <w:rFonts w:ascii="Arial" w:hAnsi="Arial" w:cs="Arial"/>
          <w:sz w:val="24"/>
          <w:szCs w:val="24"/>
        </w:rPr>
      </w:pPr>
      <w:r w:rsidRPr="007B006A">
        <w:rPr>
          <w:rFonts w:ascii="Arial" w:hAnsi="Arial" w:cs="Arial"/>
          <w:b/>
          <w:bCs/>
          <w:sz w:val="24"/>
          <w:szCs w:val="24"/>
        </w:rPr>
        <w:lastRenderedPageBreak/>
        <w:t>Powers</w:t>
      </w:r>
      <w:r w:rsidR="00BB7AA5">
        <w:rPr>
          <w:rFonts w:ascii="Arial" w:hAnsi="Arial" w:cs="Arial"/>
          <w:b/>
          <w:bCs/>
          <w:sz w:val="24"/>
          <w:szCs w:val="24"/>
        </w:rPr>
        <w:t xml:space="preserve">. </w:t>
      </w:r>
      <w:r w:rsidR="00BB7AA5" w:rsidRPr="00BB7AA5">
        <w:rPr>
          <w:rFonts w:ascii="Arial" w:hAnsi="Arial" w:cs="Arial"/>
          <w:sz w:val="24"/>
          <w:szCs w:val="24"/>
        </w:rPr>
        <w:t xml:space="preserve">Accompanying the Prospectus is a list of wider powers that generally already exist </w:t>
      </w:r>
      <w:r w:rsidR="00691835" w:rsidRPr="00BB7AA5">
        <w:rPr>
          <w:rFonts w:ascii="Arial" w:hAnsi="Arial" w:cs="Arial"/>
          <w:sz w:val="24"/>
          <w:szCs w:val="24"/>
        </w:rPr>
        <w:t>but, in this context,</w:t>
      </w:r>
      <w:r w:rsidR="00BB7AA5" w:rsidRPr="00BB7AA5">
        <w:rPr>
          <w:rFonts w:ascii="Arial" w:hAnsi="Arial" w:cs="Arial"/>
          <w:sz w:val="24"/>
          <w:szCs w:val="24"/>
        </w:rPr>
        <w:t xml:space="preserve"> could be used to maximise impact.  It will be noted that many of th</w:t>
      </w:r>
      <w:r w:rsidR="00BB7AA5">
        <w:rPr>
          <w:rFonts w:ascii="Arial" w:hAnsi="Arial" w:cs="Arial"/>
          <w:sz w:val="24"/>
          <w:szCs w:val="24"/>
        </w:rPr>
        <w:t>es</w:t>
      </w:r>
      <w:r w:rsidR="00E207B2">
        <w:rPr>
          <w:rFonts w:ascii="Arial" w:hAnsi="Arial" w:cs="Arial"/>
          <w:sz w:val="24"/>
          <w:szCs w:val="24"/>
        </w:rPr>
        <w:t>e</w:t>
      </w:r>
      <w:r w:rsidR="00BB7AA5">
        <w:rPr>
          <w:rFonts w:ascii="Arial" w:hAnsi="Arial" w:cs="Arial"/>
          <w:sz w:val="24"/>
          <w:szCs w:val="24"/>
        </w:rPr>
        <w:t xml:space="preserve"> are exercised by the </w:t>
      </w:r>
      <w:r w:rsidR="00E207B2">
        <w:rPr>
          <w:rFonts w:ascii="Arial" w:hAnsi="Arial" w:cs="Arial"/>
          <w:sz w:val="24"/>
          <w:szCs w:val="24"/>
        </w:rPr>
        <w:t>Council</w:t>
      </w:r>
      <w:r w:rsidR="00691835">
        <w:rPr>
          <w:rFonts w:ascii="Arial" w:hAnsi="Arial" w:cs="Arial"/>
          <w:sz w:val="24"/>
          <w:szCs w:val="24"/>
        </w:rPr>
        <w:t xml:space="preserve">. </w:t>
      </w:r>
    </w:p>
    <w:p w14:paraId="6067A695" w14:textId="004306E7" w:rsidR="007B006A" w:rsidRPr="00BB7AA5" w:rsidRDefault="00E207B2" w:rsidP="007B006A">
      <w:pPr>
        <w:pStyle w:val="ListParagraph"/>
        <w:ind w:left="0"/>
        <w:rPr>
          <w:rFonts w:ascii="Arial" w:hAnsi="Arial" w:cs="Arial"/>
          <w:sz w:val="24"/>
          <w:szCs w:val="24"/>
        </w:rPr>
      </w:pPr>
      <w:r>
        <w:rPr>
          <w:rFonts w:ascii="Arial" w:hAnsi="Arial" w:cs="Arial"/>
          <w:sz w:val="24"/>
          <w:szCs w:val="24"/>
        </w:rPr>
        <w:t xml:space="preserve"> </w:t>
      </w:r>
      <w:r w:rsidR="00BB7AA5" w:rsidRPr="00BB7AA5">
        <w:rPr>
          <w:rFonts w:ascii="Arial" w:hAnsi="Arial" w:cs="Arial"/>
          <w:sz w:val="24"/>
          <w:szCs w:val="24"/>
        </w:rPr>
        <w:t xml:space="preserve"> </w:t>
      </w:r>
      <w:r w:rsidR="007B006A" w:rsidRPr="00BB7AA5">
        <w:rPr>
          <w:rFonts w:ascii="Arial" w:hAnsi="Arial" w:cs="Arial"/>
          <w:sz w:val="24"/>
          <w:szCs w:val="24"/>
        </w:rPr>
        <w:t xml:space="preserve"> </w:t>
      </w:r>
    </w:p>
    <w:p w14:paraId="036E81AB" w14:textId="4503E691" w:rsidR="007B006A" w:rsidRDefault="007B006A" w:rsidP="00A90E13">
      <w:pPr>
        <w:pStyle w:val="ListParagraph"/>
        <w:rPr>
          <w:rFonts w:ascii="Arial" w:hAnsi="Arial" w:cs="Arial"/>
          <w:sz w:val="24"/>
          <w:szCs w:val="24"/>
        </w:rPr>
      </w:pPr>
      <w:r w:rsidRPr="00F649C5">
        <w:rPr>
          <w:rFonts w:ascii="Arial" w:hAnsi="Arial" w:cs="Arial"/>
          <w:b/>
          <w:bCs/>
          <w:sz w:val="24"/>
          <w:szCs w:val="24"/>
        </w:rPr>
        <w:t xml:space="preserve">Data </w:t>
      </w:r>
      <w:r w:rsidR="00691835" w:rsidRPr="00F649C5">
        <w:rPr>
          <w:rFonts w:ascii="Arial" w:hAnsi="Arial" w:cs="Arial"/>
          <w:b/>
          <w:bCs/>
          <w:sz w:val="24"/>
          <w:szCs w:val="24"/>
        </w:rPr>
        <w:t>Pack.</w:t>
      </w:r>
      <w:r w:rsidR="00691835">
        <w:rPr>
          <w:rFonts w:ascii="Arial" w:hAnsi="Arial" w:cs="Arial"/>
          <w:sz w:val="24"/>
          <w:szCs w:val="24"/>
        </w:rPr>
        <w:t xml:space="preserve"> The LTP saw the production of a data pack to support the decision-making process.  It is understood this </w:t>
      </w:r>
      <w:r w:rsidR="00F649C5">
        <w:rPr>
          <w:rFonts w:ascii="Arial" w:hAnsi="Arial" w:cs="Arial"/>
          <w:sz w:val="24"/>
          <w:szCs w:val="24"/>
        </w:rPr>
        <w:t>is being refreshed and re-issued, but in part, relates to the next point.</w:t>
      </w:r>
    </w:p>
    <w:p w14:paraId="0D0A07CC" w14:textId="77777777" w:rsidR="00F649C5" w:rsidRPr="00BB7AA5" w:rsidRDefault="00F649C5" w:rsidP="007B006A">
      <w:pPr>
        <w:pStyle w:val="ListParagraph"/>
        <w:ind w:left="0"/>
        <w:rPr>
          <w:rFonts w:ascii="Arial" w:hAnsi="Arial" w:cs="Arial"/>
          <w:sz w:val="24"/>
          <w:szCs w:val="24"/>
        </w:rPr>
      </w:pPr>
    </w:p>
    <w:p w14:paraId="417120F0" w14:textId="61ACF72C" w:rsidR="007B006A" w:rsidRDefault="007B006A" w:rsidP="00A90E13">
      <w:pPr>
        <w:pStyle w:val="ListParagraph"/>
        <w:rPr>
          <w:rFonts w:ascii="Arial" w:hAnsi="Arial" w:cs="Arial"/>
          <w:sz w:val="24"/>
          <w:szCs w:val="24"/>
        </w:rPr>
      </w:pPr>
      <w:r w:rsidRPr="0036008C">
        <w:rPr>
          <w:rFonts w:ascii="Arial" w:hAnsi="Arial" w:cs="Arial"/>
          <w:b/>
          <w:bCs/>
          <w:sz w:val="24"/>
          <w:szCs w:val="24"/>
        </w:rPr>
        <w:t xml:space="preserve">Area </w:t>
      </w:r>
      <w:r w:rsidR="00F649C5" w:rsidRPr="0036008C">
        <w:rPr>
          <w:rFonts w:ascii="Arial" w:hAnsi="Arial" w:cs="Arial"/>
          <w:b/>
          <w:bCs/>
          <w:sz w:val="24"/>
          <w:szCs w:val="24"/>
        </w:rPr>
        <w:t>D</w:t>
      </w:r>
      <w:r w:rsidRPr="0036008C">
        <w:rPr>
          <w:rFonts w:ascii="Arial" w:hAnsi="Arial" w:cs="Arial"/>
          <w:b/>
          <w:bCs/>
          <w:sz w:val="24"/>
          <w:szCs w:val="24"/>
        </w:rPr>
        <w:t>efinition</w:t>
      </w:r>
      <w:r w:rsidR="00154185" w:rsidRPr="0036008C">
        <w:rPr>
          <w:rFonts w:ascii="Arial" w:hAnsi="Arial" w:cs="Arial"/>
          <w:b/>
          <w:bCs/>
          <w:sz w:val="24"/>
          <w:szCs w:val="24"/>
        </w:rPr>
        <w:t>.</w:t>
      </w:r>
      <w:r w:rsidR="00154185">
        <w:rPr>
          <w:rFonts w:ascii="Arial" w:hAnsi="Arial" w:cs="Arial"/>
          <w:sz w:val="24"/>
          <w:szCs w:val="24"/>
        </w:rPr>
        <w:t xml:space="preserve">  Under the LTPT</w:t>
      </w:r>
      <w:r w:rsidR="000D05B8">
        <w:rPr>
          <w:rFonts w:ascii="Arial" w:hAnsi="Arial" w:cs="Arial"/>
          <w:sz w:val="24"/>
          <w:szCs w:val="24"/>
        </w:rPr>
        <w:t>, an area was agreed with MHCLG</w:t>
      </w:r>
      <w:r w:rsidR="0028552C">
        <w:rPr>
          <w:rFonts w:ascii="Arial" w:hAnsi="Arial" w:cs="Arial"/>
          <w:sz w:val="24"/>
          <w:szCs w:val="24"/>
        </w:rPr>
        <w:t xml:space="preserve"> essentially comprising the </w:t>
      </w:r>
      <w:r w:rsidR="0036008C">
        <w:rPr>
          <w:rFonts w:ascii="Arial" w:hAnsi="Arial" w:cs="Arial"/>
          <w:sz w:val="24"/>
          <w:szCs w:val="24"/>
        </w:rPr>
        <w:t xml:space="preserve">(tightly defined) </w:t>
      </w:r>
      <w:r w:rsidR="0028552C">
        <w:rPr>
          <w:rFonts w:ascii="Arial" w:hAnsi="Arial" w:cs="Arial"/>
          <w:sz w:val="24"/>
          <w:szCs w:val="24"/>
        </w:rPr>
        <w:t xml:space="preserve">built up area of Mansfield plus the </w:t>
      </w:r>
      <w:r w:rsidR="0036008C">
        <w:rPr>
          <w:rFonts w:ascii="Arial" w:hAnsi="Arial" w:cs="Arial"/>
          <w:sz w:val="24"/>
          <w:szCs w:val="24"/>
        </w:rPr>
        <w:t>contiguous</w:t>
      </w:r>
      <w:r w:rsidR="0028552C">
        <w:rPr>
          <w:rFonts w:ascii="Arial" w:hAnsi="Arial" w:cs="Arial"/>
          <w:sz w:val="24"/>
          <w:szCs w:val="24"/>
        </w:rPr>
        <w:t xml:space="preserve"> </w:t>
      </w:r>
      <w:r w:rsidR="0036008C">
        <w:rPr>
          <w:rFonts w:ascii="Arial" w:hAnsi="Arial" w:cs="Arial"/>
          <w:sz w:val="24"/>
          <w:szCs w:val="24"/>
        </w:rPr>
        <w:t xml:space="preserve">areas of Forest Town and Mansfield Woodhouse. </w:t>
      </w:r>
      <w:r w:rsidR="008351B4">
        <w:rPr>
          <w:rFonts w:ascii="Arial" w:hAnsi="Arial" w:cs="Arial"/>
          <w:sz w:val="24"/>
          <w:szCs w:val="24"/>
        </w:rPr>
        <w:t>T</w:t>
      </w:r>
      <w:r w:rsidR="00F64551">
        <w:rPr>
          <w:rFonts w:ascii="Arial" w:hAnsi="Arial" w:cs="Arial"/>
          <w:sz w:val="24"/>
          <w:szCs w:val="24"/>
        </w:rPr>
        <w:t>he first deadline date for submission looks to offer the opportunity to change this</w:t>
      </w:r>
      <w:r w:rsidR="008351B4">
        <w:rPr>
          <w:rFonts w:ascii="Arial" w:hAnsi="Arial" w:cs="Arial"/>
          <w:sz w:val="24"/>
          <w:szCs w:val="24"/>
        </w:rPr>
        <w:t xml:space="preserve"> if agreed</w:t>
      </w:r>
      <w:r w:rsidR="00F64551">
        <w:rPr>
          <w:rFonts w:ascii="Arial" w:hAnsi="Arial" w:cs="Arial"/>
          <w:sz w:val="24"/>
          <w:szCs w:val="24"/>
        </w:rPr>
        <w:t xml:space="preserve">. </w:t>
      </w:r>
    </w:p>
    <w:p w14:paraId="570FCD12" w14:textId="77777777" w:rsidR="00154185" w:rsidRPr="00BB7AA5" w:rsidRDefault="00154185" w:rsidP="007B006A">
      <w:pPr>
        <w:pStyle w:val="ListParagraph"/>
        <w:ind w:left="0"/>
        <w:rPr>
          <w:rFonts w:ascii="Arial" w:hAnsi="Arial" w:cs="Arial"/>
          <w:sz w:val="24"/>
          <w:szCs w:val="24"/>
        </w:rPr>
      </w:pPr>
    </w:p>
    <w:p w14:paraId="0472705B" w14:textId="6A275AFA" w:rsidR="003F29B7" w:rsidRDefault="007B006A" w:rsidP="00A90E13">
      <w:pPr>
        <w:pStyle w:val="ListParagraph"/>
        <w:spacing w:after="0"/>
        <w:rPr>
          <w:rFonts w:ascii="Arial" w:hAnsi="Arial" w:cs="Arial"/>
          <w:sz w:val="24"/>
          <w:szCs w:val="24"/>
        </w:rPr>
      </w:pPr>
      <w:r w:rsidRPr="003F29B7">
        <w:rPr>
          <w:rFonts w:ascii="Arial" w:hAnsi="Arial" w:cs="Arial"/>
          <w:b/>
          <w:bCs/>
          <w:sz w:val="24"/>
          <w:szCs w:val="24"/>
        </w:rPr>
        <w:t xml:space="preserve">Capacity / </w:t>
      </w:r>
      <w:r w:rsidR="00FB30DC" w:rsidRPr="003F29B7">
        <w:rPr>
          <w:rFonts w:ascii="Arial" w:hAnsi="Arial" w:cs="Arial"/>
          <w:b/>
          <w:bCs/>
          <w:sz w:val="24"/>
          <w:szCs w:val="24"/>
        </w:rPr>
        <w:t>C</w:t>
      </w:r>
      <w:r w:rsidRPr="003F29B7">
        <w:rPr>
          <w:rFonts w:ascii="Arial" w:hAnsi="Arial" w:cs="Arial"/>
          <w:b/>
          <w:bCs/>
          <w:sz w:val="24"/>
          <w:szCs w:val="24"/>
        </w:rPr>
        <w:t xml:space="preserve">apacity </w:t>
      </w:r>
      <w:r w:rsidR="00FB30DC" w:rsidRPr="003F29B7">
        <w:rPr>
          <w:rFonts w:ascii="Arial" w:hAnsi="Arial" w:cs="Arial"/>
          <w:b/>
          <w:bCs/>
          <w:sz w:val="24"/>
          <w:szCs w:val="24"/>
        </w:rPr>
        <w:t>F</w:t>
      </w:r>
      <w:r w:rsidRPr="003F29B7">
        <w:rPr>
          <w:rFonts w:ascii="Arial" w:hAnsi="Arial" w:cs="Arial"/>
          <w:b/>
          <w:bCs/>
          <w:sz w:val="24"/>
          <w:szCs w:val="24"/>
        </w:rPr>
        <w:t>unding</w:t>
      </w:r>
      <w:r w:rsidR="00FB30DC" w:rsidRPr="003F29B7">
        <w:rPr>
          <w:rFonts w:ascii="Arial" w:hAnsi="Arial" w:cs="Arial"/>
          <w:b/>
          <w:bCs/>
          <w:sz w:val="24"/>
          <w:szCs w:val="24"/>
        </w:rPr>
        <w:t>.</w:t>
      </w:r>
      <w:r w:rsidR="00FB30DC">
        <w:rPr>
          <w:rFonts w:ascii="Arial" w:hAnsi="Arial" w:cs="Arial"/>
          <w:sz w:val="24"/>
          <w:szCs w:val="24"/>
        </w:rPr>
        <w:t xml:space="preserve">  </w:t>
      </w:r>
      <w:r w:rsidR="00670ED3">
        <w:rPr>
          <w:rFonts w:ascii="Arial" w:hAnsi="Arial" w:cs="Arial"/>
          <w:sz w:val="24"/>
          <w:szCs w:val="24"/>
        </w:rPr>
        <w:t xml:space="preserve">Under the LTPT, some capacity funding was released, prior to the suspension following </w:t>
      </w:r>
      <w:r w:rsidR="00921A40">
        <w:rPr>
          <w:rFonts w:ascii="Arial" w:hAnsi="Arial" w:cs="Arial"/>
          <w:sz w:val="24"/>
          <w:szCs w:val="24"/>
        </w:rPr>
        <w:t xml:space="preserve">the election.  </w:t>
      </w:r>
      <w:r w:rsidR="00173A2B">
        <w:rPr>
          <w:rFonts w:ascii="Arial" w:hAnsi="Arial" w:cs="Arial"/>
          <w:sz w:val="24"/>
          <w:szCs w:val="24"/>
        </w:rPr>
        <w:t xml:space="preserve">While the Capacity Funding looks generous and will be enhanced up to the maximum of </w:t>
      </w:r>
      <w:r w:rsidR="00847374">
        <w:rPr>
          <w:rFonts w:ascii="Arial" w:hAnsi="Arial" w:cs="Arial"/>
          <w:sz w:val="24"/>
          <w:szCs w:val="24"/>
        </w:rPr>
        <w:t>£600k, this will have to last the programme</w:t>
      </w:r>
      <w:r w:rsidR="000C4384">
        <w:rPr>
          <w:rFonts w:ascii="Arial" w:hAnsi="Arial" w:cs="Arial"/>
          <w:sz w:val="24"/>
          <w:szCs w:val="24"/>
        </w:rPr>
        <w:t>’</w:t>
      </w:r>
      <w:r w:rsidR="00847374">
        <w:rPr>
          <w:rFonts w:ascii="Arial" w:hAnsi="Arial" w:cs="Arial"/>
          <w:sz w:val="24"/>
          <w:szCs w:val="24"/>
        </w:rPr>
        <w:t>s lifetime, offer additional capacity to MDC to resource the programme’</w:t>
      </w:r>
      <w:r w:rsidR="000C4384">
        <w:rPr>
          <w:rFonts w:ascii="Arial" w:hAnsi="Arial" w:cs="Arial"/>
          <w:sz w:val="24"/>
          <w:szCs w:val="24"/>
        </w:rPr>
        <w:t xml:space="preserve">s </w:t>
      </w:r>
      <w:r w:rsidR="00847374">
        <w:rPr>
          <w:rFonts w:ascii="Arial" w:hAnsi="Arial" w:cs="Arial"/>
          <w:sz w:val="24"/>
          <w:szCs w:val="24"/>
        </w:rPr>
        <w:t xml:space="preserve">operation </w:t>
      </w:r>
      <w:r w:rsidR="00A90E13">
        <w:rPr>
          <w:rFonts w:ascii="Arial" w:hAnsi="Arial" w:cs="Arial"/>
          <w:sz w:val="24"/>
          <w:szCs w:val="24"/>
        </w:rPr>
        <w:t>and resource</w:t>
      </w:r>
      <w:r w:rsidR="000C4384">
        <w:rPr>
          <w:rFonts w:ascii="Arial" w:hAnsi="Arial" w:cs="Arial"/>
          <w:sz w:val="24"/>
          <w:szCs w:val="24"/>
        </w:rPr>
        <w:t xml:space="preserve"> the community engagement aspects</w:t>
      </w:r>
      <w:r w:rsidR="003F29B7">
        <w:rPr>
          <w:rFonts w:ascii="Arial" w:hAnsi="Arial" w:cs="Arial"/>
          <w:sz w:val="24"/>
          <w:szCs w:val="24"/>
        </w:rPr>
        <w:t xml:space="preserve">. </w:t>
      </w:r>
    </w:p>
    <w:p w14:paraId="2C5AD99C" w14:textId="77777777" w:rsidR="00701538" w:rsidRDefault="00701538" w:rsidP="00A90E13">
      <w:pPr>
        <w:pStyle w:val="ListParagraph"/>
        <w:spacing w:after="0"/>
        <w:ind w:left="0"/>
        <w:rPr>
          <w:rFonts w:ascii="Arial" w:hAnsi="Arial" w:cs="Arial"/>
          <w:sz w:val="24"/>
          <w:szCs w:val="24"/>
        </w:rPr>
      </w:pPr>
    </w:p>
    <w:p w14:paraId="651ABD4C" w14:textId="60B8659D" w:rsidR="003F29B7" w:rsidRPr="00A90E13" w:rsidRDefault="00A90E13" w:rsidP="00A90E13">
      <w:pPr>
        <w:ind w:left="720" w:hanging="720"/>
        <w:rPr>
          <w:rFonts w:ascii="Arial" w:hAnsi="Arial" w:cs="Arial"/>
          <w:sz w:val="24"/>
          <w:szCs w:val="24"/>
        </w:rPr>
      </w:pPr>
      <w:r>
        <w:rPr>
          <w:rFonts w:ascii="Arial" w:hAnsi="Arial" w:cs="Arial"/>
          <w:sz w:val="24"/>
          <w:szCs w:val="24"/>
        </w:rPr>
        <w:t>8.2</w:t>
      </w:r>
      <w:r>
        <w:rPr>
          <w:rFonts w:ascii="Arial" w:hAnsi="Arial" w:cs="Arial"/>
          <w:sz w:val="24"/>
          <w:szCs w:val="24"/>
        </w:rPr>
        <w:tab/>
      </w:r>
      <w:r w:rsidR="00701538" w:rsidRPr="00A90E13">
        <w:rPr>
          <w:rFonts w:ascii="Arial" w:hAnsi="Arial" w:cs="Arial"/>
          <w:sz w:val="24"/>
          <w:szCs w:val="24"/>
        </w:rPr>
        <w:t>Equally some business case development</w:t>
      </w:r>
      <w:r w:rsidR="000434C6" w:rsidRPr="00A90E13">
        <w:rPr>
          <w:rFonts w:ascii="Arial" w:hAnsi="Arial" w:cs="Arial"/>
          <w:sz w:val="24"/>
          <w:szCs w:val="24"/>
        </w:rPr>
        <w:t>s</w:t>
      </w:r>
      <w:r w:rsidR="00701538" w:rsidRPr="00A90E13">
        <w:rPr>
          <w:rFonts w:ascii="Arial" w:hAnsi="Arial" w:cs="Arial"/>
          <w:sz w:val="24"/>
          <w:szCs w:val="24"/>
        </w:rPr>
        <w:t xml:space="preserve"> will have to be met to ensure a due transparent process is followed for individual project development, appraisal and decision-making.  </w:t>
      </w:r>
    </w:p>
    <w:p w14:paraId="1716CF0C" w14:textId="41CBD28B" w:rsidR="007758E5" w:rsidRPr="00BB7AA5" w:rsidRDefault="00A90E13" w:rsidP="00A90E13">
      <w:pPr>
        <w:pStyle w:val="ListParagraph"/>
        <w:ind w:hanging="720"/>
        <w:rPr>
          <w:rFonts w:ascii="Arial" w:hAnsi="Arial" w:cs="Arial"/>
          <w:sz w:val="24"/>
          <w:szCs w:val="24"/>
        </w:rPr>
      </w:pPr>
      <w:r>
        <w:rPr>
          <w:rFonts w:ascii="Arial" w:hAnsi="Arial" w:cs="Arial"/>
          <w:sz w:val="24"/>
          <w:szCs w:val="24"/>
        </w:rPr>
        <w:t>8.3</w:t>
      </w:r>
      <w:r>
        <w:rPr>
          <w:rFonts w:ascii="Arial" w:hAnsi="Arial" w:cs="Arial"/>
          <w:sz w:val="24"/>
          <w:szCs w:val="24"/>
        </w:rPr>
        <w:tab/>
      </w:r>
      <w:r w:rsidR="003F29B7">
        <w:rPr>
          <w:rFonts w:ascii="Arial" w:hAnsi="Arial" w:cs="Arial"/>
          <w:sz w:val="24"/>
          <w:szCs w:val="24"/>
        </w:rPr>
        <w:t xml:space="preserve">This will be scoped out </w:t>
      </w:r>
      <w:r w:rsidR="00C17696">
        <w:rPr>
          <w:rFonts w:ascii="Arial" w:hAnsi="Arial" w:cs="Arial"/>
          <w:sz w:val="24"/>
          <w:szCs w:val="24"/>
        </w:rPr>
        <w:t xml:space="preserve">to </w:t>
      </w:r>
      <w:r w:rsidR="00417A93">
        <w:rPr>
          <w:rFonts w:ascii="Arial" w:hAnsi="Arial" w:cs="Arial"/>
          <w:sz w:val="24"/>
          <w:szCs w:val="24"/>
        </w:rPr>
        <w:t xml:space="preserve">ensure it is suitably </w:t>
      </w:r>
      <w:r w:rsidR="00C17696">
        <w:rPr>
          <w:rFonts w:ascii="Arial" w:hAnsi="Arial" w:cs="Arial"/>
          <w:sz w:val="24"/>
          <w:szCs w:val="24"/>
        </w:rPr>
        <w:t>resource</w:t>
      </w:r>
      <w:r w:rsidR="00417A93">
        <w:rPr>
          <w:rFonts w:ascii="Arial" w:hAnsi="Arial" w:cs="Arial"/>
          <w:sz w:val="24"/>
          <w:szCs w:val="24"/>
        </w:rPr>
        <w:t>d</w:t>
      </w:r>
      <w:r w:rsidR="00C17696">
        <w:rPr>
          <w:rFonts w:ascii="Arial" w:hAnsi="Arial" w:cs="Arial"/>
          <w:sz w:val="24"/>
          <w:szCs w:val="24"/>
        </w:rPr>
        <w:t xml:space="preserve"> </w:t>
      </w:r>
      <w:r w:rsidR="007758E5">
        <w:rPr>
          <w:rFonts w:ascii="Arial" w:hAnsi="Arial" w:cs="Arial"/>
          <w:sz w:val="24"/>
          <w:szCs w:val="24"/>
        </w:rPr>
        <w:t xml:space="preserve">and is the subject of a separate report. </w:t>
      </w:r>
    </w:p>
    <w:p w14:paraId="3F5A603A" w14:textId="45B4DE81" w:rsidR="000A5328" w:rsidRPr="007758E5" w:rsidRDefault="00A90E13" w:rsidP="007758E5">
      <w:pPr>
        <w:rPr>
          <w:rFonts w:ascii="Arial" w:hAnsi="Arial" w:cs="Arial"/>
          <w:sz w:val="24"/>
          <w:szCs w:val="24"/>
        </w:rPr>
      </w:pPr>
      <w:r>
        <w:rPr>
          <w:rFonts w:ascii="Arial" w:hAnsi="Arial" w:cs="Arial"/>
          <w:b/>
          <w:bCs/>
          <w:sz w:val="24"/>
          <w:szCs w:val="24"/>
        </w:rPr>
        <w:t>9</w:t>
      </w:r>
      <w:r>
        <w:rPr>
          <w:rFonts w:ascii="Arial" w:hAnsi="Arial" w:cs="Arial"/>
          <w:b/>
          <w:bCs/>
          <w:sz w:val="24"/>
          <w:szCs w:val="24"/>
        </w:rPr>
        <w:tab/>
      </w:r>
      <w:r w:rsidR="007B006A" w:rsidRPr="007758E5">
        <w:rPr>
          <w:rFonts w:ascii="Arial" w:hAnsi="Arial" w:cs="Arial"/>
          <w:b/>
          <w:bCs/>
          <w:sz w:val="24"/>
          <w:szCs w:val="24"/>
        </w:rPr>
        <w:t xml:space="preserve">Summary </w:t>
      </w:r>
      <w:r w:rsidR="000A5328" w:rsidRPr="007758E5">
        <w:rPr>
          <w:rFonts w:ascii="Arial" w:hAnsi="Arial" w:cs="Arial"/>
          <w:b/>
          <w:bCs/>
          <w:sz w:val="24"/>
          <w:szCs w:val="24"/>
        </w:rPr>
        <w:t>Timeline</w:t>
      </w:r>
      <w:r w:rsidR="00417A93" w:rsidRPr="007758E5">
        <w:rPr>
          <w:rFonts w:ascii="Arial" w:hAnsi="Arial" w:cs="Arial"/>
          <w:b/>
          <w:bCs/>
          <w:sz w:val="24"/>
          <w:szCs w:val="24"/>
        </w:rPr>
        <w:t xml:space="preserve"> and Requirements</w:t>
      </w:r>
    </w:p>
    <w:p w14:paraId="092A72B5" w14:textId="37397959" w:rsidR="000A5328" w:rsidRPr="000A5328" w:rsidRDefault="00A90E13" w:rsidP="00A90E13">
      <w:pPr>
        <w:ind w:left="720" w:hanging="720"/>
        <w:rPr>
          <w:rFonts w:ascii="Arial" w:hAnsi="Arial" w:cs="Arial"/>
          <w:sz w:val="24"/>
          <w:szCs w:val="24"/>
        </w:rPr>
      </w:pPr>
      <w:r w:rsidRPr="00A90E13">
        <w:rPr>
          <w:rFonts w:ascii="Arial" w:hAnsi="Arial" w:cs="Arial"/>
          <w:sz w:val="24"/>
          <w:szCs w:val="24"/>
        </w:rPr>
        <w:t>9.1</w:t>
      </w:r>
      <w:r>
        <w:rPr>
          <w:rFonts w:ascii="Arial" w:hAnsi="Arial" w:cs="Arial"/>
          <w:b/>
          <w:bCs/>
          <w:sz w:val="24"/>
          <w:szCs w:val="24"/>
        </w:rPr>
        <w:tab/>
      </w:r>
      <w:r w:rsidR="000A5328" w:rsidRPr="000A5328">
        <w:rPr>
          <w:rFonts w:ascii="Arial" w:hAnsi="Arial" w:cs="Arial"/>
          <w:b/>
          <w:bCs/>
          <w:sz w:val="24"/>
          <w:szCs w:val="24"/>
        </w:rPr>
        <w:t>22 April 2025:</w:t>
      </w:r>
      <w:r w:rsidR="000A5328" w:rsidRPr="000A5328">
        <w:rPr>
          <w:rFonts w:ascii="Arial" w:hAnsi="Arial" w:cs="Arial"/>
          <w:sz w:val="24"/>
          <w:szCs w:val="24"/>
        </w:rPr>
        <w:t xml:space="preserve"> Neighbourhood Boards to finalise membership and propose any boundary adjustments.</w:t>
      </w:r>
    </w:p>
    <w:p w14:paraId="3C7F30DE" w14:textId="69700603" w:rsidR="000A5328" w:rsidRPr="000A5328" w:rsidRDefault="00A90E13" w:rsidP="00A90E13">
      <w:pPr>
        <w:ind w:left="720" w:hanging="720"/>
        <w:rPr>
          <w:rFonts w:ascii="Arial" w:hAnsi="Arial" w:cs="Arial"/>
          <w:sz w:val="24"/>
          <w:szCs w:val="24"/>
        </w:rPr>
      </w:pPr>
      <w:bookmarkStart w:id="0" w:name="_Hlk192081010"/>
      <w:r w:rsidRPr="00A90E13">
        <w:rPr>
          <w:rFonts w:ascii="Arial" w:hAnsi="Arial" w:cs="Arial"/>
          <w:sz w:val="24"/>
          <w:szCs w:val="24"/>
        </w:rPr>
        <w:t>9.2</w:t>
      </w:r>
      <w:r>
        <w:rPr>
          <w:rFonts w:ascii="Arial" w:hAnsi="Arial" w:cs="Arial"/>
          <w:b/>
          <w:bCs/>
          <w:sz w:val="24"/>
          <w:szCs w:val="24"/>
        </w:rPr>
        <w:tab/>
      </w:r>
      <w:r w:rsidR="000A5328" w:rsidRPr="000A5328">
        <w:rPr>
          <w:rFonts w:ascii="Arial" w:hAnsi="Arial" w:cs="Arial"/>
          <w:b/>
          <w:bCs/>
          <w:sz w:val="24"/>
          <w:szCs w:val="24"/>
        </w:rPr>
        <w:t>Spring to Winter 2025:</w:t>
      </w:r>
      <w:r w:rsidR="000A5328" w:rsidRPr="000A5328">
        <w:rPr>
          <w:rFonts w:ascii="Arial" w:hAnsi="Arial" w:cs="Arial"/>
          <w:sz w:val="24"/>
          <w:szCs w:val="24"/>
        </w:rPr>
        <w:t xml:space="preserve"> Submission of Regeneration Plans to MHCLG</w:t>
      </w:r>
      <w:r w:rsidR="00701538">
        <w:rPr>
          <w:rFonts w:ascii="Arial" w:hAnsi="Arial" w:cs="Arial"/>
          <w:sz w:val="24"/>
          <w:szCs w:val="24"/>
        </w:rPr>
        <w:t xml:space="preserve"> </w:t>
      </w:r>
      <w:r w:rsidR="000A5328" w:rsidRPr="000A5328">
        <w:rPr>
          <w:rFonts w:ascii="Arial" w:hAnsi="Arial" w:cs="Arial"/>
          <w:sz w:val="24"/>
          <w:szCs w:val="24"/>
        </w:rPr>
        <w:t>for assessment and approval.</w:t>
      </w:r>
    </w:p>
    <w:bookmarkEnd w:id="0"/>
    <w:p w14:paraId="76828771" w14:textId="77DCBE02" w:rsidR="000A5328" w:rsidRPr="000A5328" w:rsidRDefault="00A90E13" w:rsidP="00A90E13">
      <w:pPr>
        <w:ind w:left="720" w:hanging="720"/>
        <w:rPr>
          <w:rFonts w:ascii="Arial" w:hAnsi="Arial" w:cs="Arial"/>
          <w:sz w:val="24"/>
          <w:szCs w:val="24"/>
        </w:rPr>
      </w:pPr>
      <w:r w:rsidRPr="00A90E13">
        <w:rPr>
          <w:rFonts w:ascii="Arial" w:hAnsi="Arial" w:cs="Arial"/>
          <w:sz w:val="24"/>
          <w:szCs w:val="24"/>
        </w:rPr>
        <w:t>9.3</w:t>
      </w:r>
      <w:r>
        <w:rPr>
          <w:rFonts w:ascii="Arial" w:hAnsi="Arial" w:cs="Arial"/>
          <w:b/>
          <w:bCs/>
          <w:sz w:val="24"/>
          <w:szCs w:val="24"/>
        </w:rPr>
        <w:tab/>
      </w:r>
      <w:r w:rsidR="000A5328" w:rsidRPr="000A5328">
        <w:rPr>
          <w:rFonts w:ascii="Arial" w:hAnsi="Arial" w:cs="Arial"/>
          <w:b/>
          <w:bCs/>
          <w:sz w:val="24"/>
          <w:szCs w:val="24"/>
        </w:rPr>
        <w:t>From April 2026:</w:t>
      </w:r>
      <w:r w:rsidR="000A5328" w:rsidRPr="000A5328">
        <w:rPr>
          <w:rFonts w:ascii="Arial" w:hAnsi="Arial" w:cs="Arial"/>
          <w:sz w:val="24"/>
          <w:szCs w:val="24"/>
        </w:rPr>
        <w:t xml:space="preserve"> Release of programme delivery funding to local authorities, marking the commencement of the delivery phase.</w:t>
      </w:r>
    </w:p>
    <w:p w14:paraId="61819C06" w14:textId="77777777" w:rsidR="00E30CD8" w:rsidRPr="00FB25EC" w:rsidRDefault="00E30CD8" w:rsidP="00FB25EC">
      <w:pPr>
        <w:pStyle w:val="NoSpacing"/>
        <w:rPr>
          <w:rFonts w:ascii="Arial" w:hAnsi="Arial" w:cs="Arial"/>
          <w:sz w:val="24"/>
          <w:szCs w:val="24"/>
        </w:rPr>
      </w:pPr>
    </w:p>
    <w:p w14:paraId="5EDC1E5B" w14:textId="0F1C867B" w:rsidR="00F05266" w:rsidRDefault="00121C37" w:rsidP="004E5285">
      <w:pPr>
        <w:pStyle w:val="NoSpacing"/>
        <w:numPr>
          <w:ilvl w:val="0"/>
          <w:numId w:val="16"/>
        </w:numPr>
        <w:ind w:hanging="720"/>
        <w:rPr>
          <w:rFonts w:ascii="Arial" w:hAnsi="Arial" w:cs="Arial"/>
          <w:b/>
          <w:bCs/>
          <w:sz w:val="24"/>
          <w:szCs w:val="24"/>
        </w:rPr>
      </w:pPr>
      <w:r>
        <w:rPr>
          <w:rFonts w:ascii="Arial" w:hAnsi="Arial" w:cs="Arial"/>
          <w:b/>
          <w:bCs/>
          <w:sz w:val="24"/>
          <w:szCs w:val="24"/>
        </w:rPr>
        <w:t>Recommendation</w:t>
      </w:r>
    </w:p>
    <w:p w14:paraId="01131A55" w14:textId="77777777" w:rsidR="004E5285" w:rsidRDefault="004E5285" w:rsidP="00FB25EC">
      <w:pPr>
        <w:pStyle w:val="NoSpacing"/>
        <w:rPr>
          <w:rFonts w:ascii="Arial" w:hAnsi="Arial" w:cs="Arial"/>
          <w:b/>
          <w:bCs/>
          <w:sz w:val="24"/>
          <w:szCs w:val="24"/>
        </w:rPr>
      </w:pPr>
    </w:p>
    <w:p w14:paraId="0FF06857" w14:textId="24089B83" w:rsidR="004E5285" w:rsidRPr="004E0E45" w:rsidRDefault="004E5285" w:rsidP="00FB25EC">
      <w:pPr>
        <w:pStyle w:val="NoSpacing"/>
        <w:rPr>
          <w:rFonts w:ascii="Arial" w:hAnsi="Arial" w:cs="Arial"/>
          <w:sz w:val="24"/>
          <w:szCs w:val="24"/>
        </w:rPr>
      </w:pPr>
      <w:r w:rsidRPr="004E0E45">
        <w:rPr>
          <w:rFonts w:ascii="Arial" w:hAnsi="Arial" w:cs="Arial"/>
          <w:sz w:val="24"/>
          <w:szCs w:val="24"/>
        </w:rPr>
        <w:t>It is recommended that the Core Group</w:t>
      </w:r>
      <w:r w:rsidR="00283EA2" w:rsidRPr="004E0E45">
        <w:rPr>
          <w:rFonts w:ascii="Arial" w:hAnsi="Arial" w:cs="Arial"/>
          <w:sz w:val="24"/>
          <w:szCs w:val="24"/>
        </w:rPr>
        <w:t xml:space="preserve"> </w:t>
      </w:r>
      <w:r w:rsidR="002334A1">
        <w:rPr>
          <w:rFonts w:ascii="Arial" w:hAnsi="Arial" w:cs="Arial"/>
          <w:sz w:val="24"/>
          <w:szCs w:val="24"/>
        </w:rPr>
        <w:t xml:space="preserve">notes the briefing, </w:t>
      </w:r>
      <w:r w:rsidR="002562A7">
        <w:rPr>
          <w:rFonts w:ascii="Arial" w:hAnsi="Arial" w:cs="Arial"/>
          <w:sz w:val="24"/>
          <w:szCs w:val="24"/>
        </w:rPr>
        <w:t xml:space="preserve">and </w:t>
      </w:r>
      <w:r w:rsidRPr="004E0E45">
        <w:rPr>
          <w:rFonts w:ascii="Arial" w:hAnsi="Arial" w:cs="Arial"/>
          <w:sz w:val="24"/>
          <w:szCs w:val="24"/>
        </w:rPr>
        <w:t xml:space="preserve">sets itself a meeting </w:t>
      </w:r>
      <w:r w:rsidR="00283EA2" w:rsidRPr="004E0E45">
        <w:rPr>
          <w:rFonts w:ascii="Arial" w:hAnsi="Arial" w:cs="Arial"/>
          <w:sz w:val="24"/>
          <w:szCs w:val="24"/>
        </w:rPr>
        <w:t>week commencing 14</w:t>
      </w:r>
      <w:r w:rsidR="00283EA2" w:rsidRPr="004E0E45">
        <w:rPr>
          <w:rFonts w:ascii="Arial" w:hAnsi="Arial" w:cs="Arial"/>
          <w:sz w:val="24"/>
          <w:szCs w:val="24"/>
          <w:vertAlign w:val="superscript"/>
        </w:rPr>
        <w:t>th</w:t>
      </w:r>
      <w:r w:rsidR="00283EA2" w:rsidRPr="004E0E45">
        <w:rPr>
          <w:rFonts w:ascii="Arial" w:hAnsi="Arial" w:cs="Arial"/>
          <w:sz w:val="24"/>
          <w:szCs w:val="24"/>
        </w:rPr>
        <w:t xml:space="preserve"> April</w:t>
      </w:r>
      <w:r w:rsidR="004E0E45" w:rsidRPr="004E0E45">
        <w:rPr>
          <w:rFonts w:ascii="Arial" w:hAnsi="Arial" w:cs="Arial"/>
          <w:sz w:val="24"/>
          <w:szCs w:val="24"/>
        </w:rPr>
        <w:t xml:space="preserve"> </w:t>
      </w:r>
      <w:r w:rsidR="00283EA2" w:rsidRPr="004E0E45">
        <w:rPr>
          <w:rFonts w:ascii="Arial" w:hAnsi="Arial" w:cs="Arial"/>
          <w:sz w:val="24"/>
          <w:szCs w:val="24"/>
        </w:rPr>
        <w:t xml:space="preserve">to consider the </w:t>
      </w:r>
      <w:r w:rsidR="004E0E45" w:rsidRPr="004E0E45">
        <w:rPr>
          <w:rFonts w:ascii="Arial" w:hAnsi="Arial" w:cs="Arial"/>
          <w:sz w:val="24"/>
          <w:szCs w:val="24"/>
        </w:rPr>
        <w:t xml:space="preserve">finalisation of </w:t>
      </w:r>
      <w:r w:rsidR="004E0E45">
        <w:rPr>
          <w:rFonts w:ascii="Arial" w:hAnsi="Arial" w:cs="Arial"/>
          <w:sz w:val="24"/>
          <w:szCs w:val="24"/>
        </w:rPr>
        <w:t xml:space="preserve">any revisions to the </w:t>
      </w:r>
      <w:r w:rsidR="004E0E45" w:rsidRPr="004E0E45">
        <w:rPr>
          <w:rFonts w:ascii="Arial" w:hAnsi="Arial" w:cs="Arial"/>
          <w:sz w:val="24"/>
          <w:szCs w:val="24"/>
        </w:rPr>
        <w:t>membership</w:t>
      </w:r>
      <w:r w:rsidR="004E0E45">
        <w:rPr>
          <w:rFonts w:ascii="Arial" w:hAnsi="Arial" w:cs="Arial"/>
          <w:sz w:val="24"/>
          <w:szCs w:val="24"/>
        </w:rPr>
        <w:t xml:space="preserve"> of the Neighbourhood Board</w:t>
      </w:r>
      <w:r w:rsidR="004E0E45" w:rsidRPr="004E0E45">
        <w:rPr>
          <w:rFonts w:ascii="Arial" w:hAnsi="Arial" w:cs="Arial"/>
          <w:sz w:val="24"/>
          <w:szCs w:val="24"/>
        </w:rPr>
        <w:t xml:space="preserve">, the confirmation of the </w:t>
      </w:r>
      <w:r w:rsidR="002334A1">
        <w:rPr>
          <w:rFonts w:ascii="Arial" w:hAnsi="Arial" w:cs="Arial"/>
          <w:sz w:val="24"/>
          <w:szCs w:val="24"/>
        </w:rPr>
        <w:t>Chair and any proposed boundary amendments</w:t>
      </w:r>
      <w:r w:rsidR="002562A7">
        <w:rPr>
          <w:rFonts w:ascii="Arial" w:hAnsi="Arial" w:cs="Arial"/>
          <w:sz w:val="24"/>
          <w:szCs w:val="24"/>
        </w:rPr>
        <w:t xml:space="preserve"> prior to submission before the </w:t>
      </w:r>
      <w:proofErr w:type="gramStart"/>
      <w:r w:rsidR="002562A7">
        <w:rPr>
          <w:rFonts w:ascii="Arial" w:hAnsi="Arial" w:cs="Arial"/>
          <w:sz w:val="24"/>
          <w:szCs w:val="24"/>
        </w:rPr>
        <w:t>22</w:t>
      </w:r>
      <w:r w:rsidR="002562A7" w:rsidRPr="002562A7">
        <w:rPr>
          <w:rFonts w:ascii="Arial" w:hAnsi="Arial" w:cs="Arial"/>
          <w:sz w:val="24"/>
          <w:szCs w:val="24"/>
          <w:vertAlign w:val="superscript"/>
        </w:rPr>
        <w:t>nd</w:t>
      </w:r>
      <w:proofErr w:type="gramEnd"/>
      <w:r w:rsidR="002562A7">
        <w:rPr>
          <w:rFonts w:ascii="Arial" w:hAnsi="Arial" w:cs="Arial"/>
          <w:sz w:val="24"/>
          <w:szCs w:val="24"/>
        </w:rPr>
        <w:t xml:space="preserve"> April deadline. </w:t>
      </w:r>
    </w:p>
    <w:sectPr w:rsidR="004E5285" w:rsidRPr="004E0E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37FE" w14:textId="77777777" w:rsidR="00D96EB5" w:rsidRDefault="00D96EB5" w:rsidP="000A5328">
      <w:pPr>
        <w:spacing w:after="0" w:line="240" w:lineRule="auto"/>
      </w:pPr>
      <w:r>
        <w:separator/>
      </w:r>
    </w:p>
  </w:endnote>
  <w:endnote w:type="continuationSeparator" w:id="0">
    <w:p w14:paraId="168B4244" w14:textId="77777777" w:rsidR="00D96EB5" w:rsidRDefault="00D96EB5" w:rsidP="000A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19072"/>
      <w:docPartObj>
        <w:docPartGallery w:val="Page Numbers (Bottom of Page)"/>
        <w:docPartUnique/>
      </w:docPartObj>
    </w:sdtPr>
    <w:sdtEndPr>
      <w:rPr>
        <w:rFonts w:ascii="Arial" w:hAnsi="Arial" w:cs="Arial"/>
        <w:noProof/>
        <w:sz w:val="24"/>
        <w:szCs w:val="24"/>
      </w:rPr>
    </w:sdtEndPr>
    <w:sdtContent>
      <w:p w14:paraId="2EE1CBC9" w14:textId="21AC499D" w:rsidR="00672466" w:rsidRPr="00672466" w:rsidRDefault="00672466">
        <w:pPr>
          <w:pStyle w:val="Footer"/>
          <w:jc w:val="center"/>
          <w:rPr>
            <w:rFonts w:ascii="Arial" w:hAnsi="Arial" w:cs="Arial"/>
            <w:sz w:val="24"/>
            <w:szCs w:val="24"/>
          </w:rPr>
        </w:pPr>
        <w:r w:rsidRPr="00672466">
          <w:rPr>
            <w:rFonts w:ascii="Arial" w:hAnsi="Arial" w:cs="Arial"/>
            <w:sz w:val="24"/>
            <w:szCs w:val="24"/>
          </w:rPr>
          <w:fldChar w:fldCharType="begin"/>
        </w:r>
        <w:r w:rsidRPr="00672466">
          <w:rPr>
            <w:rFonts w:ascii="Arial" w:hAnsi="Arial" w:cs="Arial"/>
            <w:sz w:val="24"/>
            <w:szCs w:val="24"/>
          </w:rPr>
          <w:instrText xml:space="preserve"> PAGE   \* MERGEFORMAT </w:instrText>
        </w:r>
        <w:r w:rsidRPr="00672466">
          <w:rPr>
            <w:rFonts w:ascii="Arial" w:hAnsi="Arial" w:cs="Arial"/>
            <w:sz w:val="24"/>
            <w:szCs w:val="24"/>
          </w:rPr>
          <w:fldChar w:fldCharType="separate"/>
        </w:r>
        <w:r w:rsidRPr="00672466">
          <w:rPr>
            <w:rFonts w:ascii="Arial" w:hAnsi="Arial" w:cs="Arial"/>
            <w:noProof/>
            <w:sz w:val="24"/>
            <w:szCs w:val="24"/>
          </w:rPr>
          <w:t>2</w:t>
        </w:r>
        <w:r w:rsidRPr="00672466">
          <w:rPr>
            <w:rFonts w:ascii="Arial" w:hAnsi="Arial" w:cs="Arial"/>
            <w:noProof/>
            <w:sz w:val="24"/>
            <w:szCs w:val="24"/>
          </w:rPr>
          <w:fldChar w:fldCharType="end"/>
        </w:r>
      </w:p>
    </w:sdtContent>
  </w:sdt>
  <w:p w14:paraId="6132AA69" w14:textId="77777777" w:rsidR="000A5328" w:rsidRDefault="000A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204D" w14:textId="77777777" w:rsidR="00D96EB5" w:rsidRDefault="00D96EB5" w:rsidP="000A5328">
      <w:pPr>
        <w:spacing w:after="0" w:line="240" w:lineRule="auto"/>
      </w:pPr>
      <w:r>
        <w:separator/>
      </w:r>
    </w:p>
  </w:footnote>
  <w:footnote w:type="continuationSeparator" w:id="0">
    <w:p w14:paraId="15924E4A" w14:textId="77777777" w:rsidR="00D96EB5" w:rsidRDefault="00D96EB5" w:rsidP="000A5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FE"/>
    <w:multiLevelType w:val="hybridMultilevel"/>
    <w:tmpl w:val="62EA0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E0E13"/>
    <w:multiLevelType w:val="hybridMultilevel"/>
    <w:tmpl w:val="5C02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1A21"/>
    <w:multiLevelType w:val="multilevel"/>
    <w:tmpl w:val="564AE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890792"/>
    <w:multiLevelType w:val="multilevel"/>
    <w:tmpl w:val="2F229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173217"/>
    <w:multiLevelType w:val="multilevel"/>
    <w:tmpl w:val="921CB1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4C354317"/>
    <w:multiLevelType w:val="multilevel"/>
    <w:tmpl w:val="1472B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5630E5"/>
    <w:multiLevelType w:val="hybridMultilevel"/>
    <w:tmpl w:val="1BEA6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7744C47"/>
    <w:multiLevelType w:val="multilevel"/>
    <w:tmpl w:val="0C4AE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94412"/>
    <w:multiLevelType w:val="hybridMultilevel"/>
    <w:tmpl w:val="2E420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417350"/>
    <w:multiLevelType w:val="hybridMultilevel"/>
    <w:tmpl w:val="4896FFEE"/>
    <w:lvl w:ilvl="0" w:tplc="6AE0A0B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583881"/>
    <w:multiLevelType w:val="hybridMultilevel"/>
    <w:tmpl w:val="E1FE60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CE4E48"/>
    <w:multiLevelType w:val="multilevel"/>
    <w:tmpl w:val="FAD451D2"/>
    <w:lvl w:ilvl="0">
      <w:start w:val="1"/>
      <w:numFmt w:val="bullet"/>
      <w:lvlText w:val=""/>
      <w:lvlJc w:val="left"/>
      <w:pPr>
        <w:tabs>
          <w:tab w:val="num" w:pos="1080"/>
        </w:tabs>
        <w:ind w:left="1080" w:hanging="360"/>
      </w:pPr>
      <w:rPr>
        <w:rFonts w:ascii="Symbol" w:hAnsi="Symbol" w:hint="default"/>
        <w:sz w:val="20"/>
      </w:rPr>
    </w:lvl>
    <w:lvl w:ilvl="1">
      <w:start w:val="1623"/>
      <w:numFmt w:val="bullet"/>
      <w:lvlText w:val="-"/>
      <w:lvlJc w:val="left"/>
      <w:pPr>
        <w:ind w:left="1800" w:hanging="360"/>
      </w:pPr>
      <w:rPr>
        <w:rFonts w:ascii="Arial" w:eastAsiaTheme="minorHAnsi" w:hAnsi="Arial" w:cs="Arial"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6A742747"/>
    <w:multiLevelType w:val="hybridMultilevel"/>
    <w:tmpl w:val="DEBA477A"/>
    <w:lvl w:ilvl="0" w:tplc="C78826C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323204"/>
    <w:multiLevelType w:val="hybridMultilevel"/>
    <w:tmpl w:val="EE002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5C2989"/>
    <w:multiLevelType w:val="multilevel"/>
    <w:tmpl w:val="5C2C5B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A3E788A"/>
    <w:multiLevelType w:val="multilevel"/>
    <w:tmpl w:val="16564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186545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552303">
    <w:abstractNumId w:val="15"/>
  </w:num>
  <w:num w:numId="3" w16cid:durableId="1101954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549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917701">
    <w:abstractNumId w:val="7"/>
  </w:num>
  <w:num w:numId="6" w16cid:durableId="18325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442437">
    <w:abstractNumId w:val="10"/>
  </w:num>
  <w:num w:numId="8" w16cid:durableId="1418790971">
    <w:abstractNumId w:val="12"/>
  </w:num>
  <w:num w:numId="9" w16cid:durableId="1088962581">
    <w:abstractNumId w:val="14"/>
  </w:num>
  <w:num w:numId="10" w16cid:durableId="466511883">
    <w:abstractNumId w:val="6"/>
  </w:num>
  <w:num w:numId="11" w16cid:durableId="1812362042">
    <w:abstractNumId w:val="11"/>
  </w:num>
  <w:num w:numId="12" w16cid:durableId="1158765746">
    <w:abstractNumId w:val="8"/>
  </w:num>
  <w:num w:numId="13" w16cid:durableId="599948103">
    <w:abstractNumId w:val="1"/>
  </w:num>
  <w:num w:numId="14" w16cid:durableId="1021054161">
    <w:abstractNumId w:val="13"/>
  </w:num>
  <w:num w:numId="15" w16cid:durableId="1616600060">
    <w:abstractNumId w:val="0"/>
  </w:num>
  <w:num w:numId="16" w16cid:durableId="185560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28"/>
    <w:rsid w:val="000013E4"/>
    <w:rsid w:val="00004E85"/>
    <w:rsid w:val="00024EFB"/>
    <w:rsid w:val="00032365"/>
    <w:rsid w:val="00033D2A"/>
    <w:rsid w:val="00040E99"/>
    <w:rsid w:val="000434C6"/>
    <w:rsid w:val="00073E8B"/>
    <w:rsid w:val="0008508D"/>
    <w:rsid w:val="000A5328"/>
    <w:rsid w:val="000C4384"/>
    <w:rsid w:val="000D05B8"/>
    <w:rsid w:val="000E295A"/>
    <w:rsid w:val="000F4EE5"/>
    <w:rsid w:val="001009EA"/>
    <w:rsid w:val="00121C37"/>
    <w:rsid w:val="00130199"/>
    <w:rsid w:val="00154185"/>
    <w:rsid w:val="00155EF8"/>
    <w:rsid w:val="00160D79"/>
    <w:rsid w:val="00173A2B"/>
    <w:rsid w:val="001766AB"/>
    <w:rsid w:val="001C37C1"/>
    <w:rsid w:val="001E60D9"/>
    <w:rsid w:val="001E6B0C"/>
    <w:rsid w:val="001F3BC0"/>
    <w:rsid w:val="00206943"/>
    <w:rsid w:val="00216EED"/>
    <w:rsid w:val="0023274C"/>
    <w:rsid w:val="002334A1"/>
    <w:rsid w:val="00254534"/>
    <w:rsid w:val="002562A7"/>
    <w:rsid w:val="00261778"/>
    <w:rsid w:val="002634BE"/>
    <w:rsid w:val="00275997"/>
    <w:rsid w:val="00283EA2"/>
    <w:rsid w:val="0028552C"/>
    <w:rsid w:val="002B6B85"/>
    <w:rsid w:val="00302404"/>
    <w:rsid w:val="00310AA1"/>
    <w:rsid w:val="00335AFE"/>
    <w:rsid w:val="00335BB4"/>
    <w:rsid w:val="00346551"/>
    <w:rsid w:val="0036008C"/>
    <w:rsid w:val="00365D96"/>
    <w:rsid w:val="00371CCB"/>
    <w:rsid w:val="003931C8"/>
    <w:rsid w:val="003E0C5E"/>
    <w:rsid w:val="003E14F6"/>
    <w:rsid w:val="003E7535"/>
    <w:rsid w:val="003F29B7"/>
    <w:rsid w:val="003F37F3"/>
    <w:rsid w:val="00405338"/>
    <w:rsid w:val="00417A93"/>
    <w:rsid w:val="00471958"/>
    <w:rsid w:val="004864ED"/>
    <w:rsid w:val="004B445B"/>
    <w:rsid w:val="004C0A27"/>
    <w:rsid w:val="004C1885"/>
    <w:rsid w:val="004E0E45"/>
    <w:rsid w:val="004E5285"/>
    <w:rsid w:val="004F3468"/>
    <w:rsid w:val="004F37C7"/>
    <w:rsid w:val="00507F8D"/>
    <w:rsid w:val="00515106"/>
    <w:rsid w:val="00515724"/>
    <w:rsid w:val="005230AD"/>
    <w:rsid w:val="00526F72"/>
    <w:rsid w:val="005276B9"/>
    <w:rsid w:val="00552CD5"/>
    <w:rsid w:val="00555D00"/>
    <w:rsid w:val="00557C6D"/>
    <w:rsid w:val="005A45B7"/>
    <w:rsid w:val="005C3594"/>
    <w:rsid w:val="005C35D8"/>
    <w:rsid w:val="005C4560"/>
    <w:rsid w:val="005C5C33"/>
    <w:rsid w:val="005E64AD"/>
    <w:rsid w:val="005F4F88"/>
    <w:rsid w:val="00601D45"/>
    <w:rsid w:val="00617B58"/>
    <w:rsid w:val="00631756"/>
    <w:rsid w:val="00657D58"/>
    <w:rsid w:val="00667BEA"/>
    <w:rsid w:val="00670ED3"/>
    <w:rsid w:val="00672466"/>
    <w:rsid w:val="00676373"/>
    <w:rsid w:val="00682E76"/>
    <w:rsid w:val="00691835"/>
    <w:rsid w:val="00694D6D"/>
    <w:rsid w:val="006A6734"/>
    <w:rsid w:val="006D1042"/>
    <w:rsid w:val="006D31C1"/>
    <w:rsid w:val="006D4D9B"/>
    <w:rsid w:val="00700290"/>
    <w:rsid w:val="00701538"/>
    <w:rsid w:val="00704481"/>
    <w:rsid w:val="0070531F"/>
    <w:rsid w:val="0073173E"/>
    <w:rsid w:val="007758E5"/>
    <w:rsid w:val="00781A8A"/>
    <w:rsid w:val="00796A1A"/>
    <w:rsid w:val="007A7420"/>
    <w:rsid w:val="007B006A"/>
    <w:rsid w:val="00832560"/>
    <w:rsid w:val="00834A65"/>
    <w:rsid w:val="008351B4"/>
    <w:rsid w:val="00836106"/>
    <w:rsid w:val="008446F7"/>
    <w:rsid w:val="00847374"/>
    <w:rsid w:val="00850D4D"/>
    <w:rsid w:val="00866B29"/>
    <w:rsid w:val="008745B8"/>
    <w:rsid w:val="00882304"/>
    <w:rsid w:val="008853EB"/>
    <w:rsid w:val="00886204"/>
    <w:rsid w:val="00893B23"/>
    <w:rsid w:val="008A5395"/>
    <w:rsid w:val="008C6159"/>
    <w:rsid w:val="008E03BD"/>
    <w:rsid w:val="00921A40"/>
    <w:rsid w:val="00956C12"/>
    <w:rsid w:val="00960E26"/>
    <w:rsid w:val="009A3A85"/>
    <w:rsid w:val="009B6B3B"/>
    <w:rsid w:val="009C13B0"/>
    <w:rsid w:val="009C52A9"/>
    <w:rsid w:val="009D3319"/>
    <w:rsid w:val="009E0A2A"/>
    <w:rsid w:val="00A32C5F"/>
    <w:rsid w:val="00A40381"/>
    <w:rsid w:val="00A40D98"/>
    <w:rsid w:val="00A426D9"/>
    <w:rsid w:val="00A5699B"/>
    <w:rsid w:val="00A6406E"/>
    <w:rsid w:val="00A90E13"/>
    <w:rsid w:val="00AA4DAC"/>
    <w:rsid w:val="00AA58F5"/>
    <w:rsid w:val="00AC5B30"/>
    <w:rsid w:val="00AD6CFA"/>
    <w:rsid w:val="00AE1D53"/>
    <w:rsid w:val="00AE7659"/>
    <w:rsid w:val="00AF5FD0"/>
    <w:rsid w:val="00B46666"/>
    <w:rsid w:val="00B60929"/>
    <w:rsid w:val="00B63375"/>
    <w:rsid w:val="00B703AD"/>
    <w:rsid w:val="00B741A1"/>
    <w:rsid w:val="00B94B79"/>
    <w:rsid w:val="00BA0E4B"/>
    <w:rsid w:val="00BB57DF"/>
    <w:rsid w:val="00BB7AA5"/>
    <w:rsid w:val="00BC2B6F"/>
    <w:rsid w:val="00BD2703"/>
    <w:rsid w:val="00BE13EF"/>
    <w:rsid w:val="00BE3995"/>
    <w:rsid w:val="00BF2030"/>
    <w:rsid w:val="00BF654E"/>
    <w:rsid w:val="00C058D4"/>
    <w:rsid w:val="00C17696"/>
    <w:rsid w:val="00C20D38"/>
    <w:rsid w:val="00C861D5"/>
    <w:rsid w:val="00C9078C"/>
    <w:rsid w:val="00CA09D4"/>
    <w:rsid w:val="00CA619B"/>
    <w:rsid w:val="00CC0FD9"/>
    <w:rsid w:val="00CF51E7"/>
    <w:rsid w:val="00D00407"/>
    <w:rsid w:val="00D12CC7"/>
    <w:rsid w:val="00D154A1"/>
    <w:rsid w:val="00D42B26"/>
    <w:rsid w:val="00D96ADB"/>
    <w:rsid w:val="00D96EB5"/>
    <w:rsid w:val="00DC47CB"/>
    <w:rsid w:val="00DE613E"/>
    <w:rsid w:val="00E207B2"/>
    <w:rsid w:val="00E30CD8"/>
    <w:rsid w:val="00E3287C"/>
    <w:rsid w:val="00E55EEE"/>
    <w:rsid w:val="00E970D3"/>
    <w:rsid w:val="00ED0745"/>
    <w:rsid w:val="00ED53A6"/>
    <w:rsid w:val="00F051F7"/>
    <w:rsid w:val="00F05266"/>
    <w:rsid w:val="00F64551"/>
    <w:rsid w:val="00F649C5"/>
    <w:rsid w:val="00F7719A"/>
    <w:rsid w:val="00F801DE"/>
    <w:rsid w:val="00F845A4"/>
    <w:rsid w:val="00FA1D37"/>
    <w:rsid w:val="00FA6A0F"/>
    <w:rsid w:val="00FB25EC"/>
    <w:rsid w:val="00FB30DC"/>
    <w:rsid w:val="00FB5322"/>
    <w:rsid w:val="00FE3C6D"/>
    <w:rsid w:val="00FF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2C74"/>
  <w15:chartTrackingRefBased/>
  <w15:docId w15:val="{2A178403-2C6E-4291-B43F-DEFC6D32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28"/>
    <w:rPr>
      <w:rFonts w:eastAsiaTheme="majorEastAsia" w:cstheme="majorBidi"/>
      <w:color w:val="272727" w:themeColor="text1" w:themeTint="D8"/>
    </w:rPr>
  </w:style>
  <w:style w:type="paragraph" w:styleId="Title">
    <w:name w:val="Title"/>
    <w:basedOn w:val="Normal"/>
    <w:next w:val="Normal"/>
    <w:link w:val="TitleChar"/>
    <w:uiPriority w:val="10"/>
    <w:qFormat/>
    <w:rsid w:val="000A5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28"/>
    <w:pPr>
      <w:spacing w:before="160"/>
      <w:jc w:val="center"/>
    </w:pPr>
    <w:rPr>
      <w:i/>
      <w:iCs/>
      <w:color w:val="404040" w:themeColor="text1" w:themeTint="BF"/>
    </w:rPr>
  </w:style>
  <w:style w:type="character" w:customStyle="1" w:styleId="QuoteChar">
    <w:name w:val="Quote Char"/>
    <w:basedOn w:val="DefaultParagraphFont"/>
    <w:link w:val="Quote"/>
    <w:uiPriority w:val="29"/>
    <w:rsid w:val="000A5328"/>
    <w:rPr>
      <w:i/>
      <w:iCs/>
      <w:color w:val="404040" w:themeColor="text1" w:themeTint="BF"/>
    </w:rPr>
  </w:style>
  <w:style w:type="paragraph" w:styleId="ListParagraph">
    <w:name w:val="List Paragraph"/>
    <w:basedOn w:val="Normal"/>
    <w:uiPriority w:val="34"/>
    <w:qFormat/>
    <w:rsid w:val="000A5328"/>
    <w:pPr>
      <w:ind w:left="720"/>
      <w:contextualSpacing/>
    </w:pPr>
  </w:style>
  <w:style w:type="character" w:styleId="IntenseEmphasis">
    <w:name w:val="Intense Emphasis"/>
    <w:basedOn w:val="DefaultParagraphFont"/>
    <w:uiPriority w:val="21"/>
    <w:qFormat/>
    <w:rsid w:val="000A5328"/>
    <w:rPr>
      <w:i/>
      <w:iCs/>
      <w:color w:val="0F4761" w:themeColor="accent1" w:themeShade="BF"/>
    </w:rPr>
  </w:style>
  <w:style w:type="paragraph" w:styleId="IntenseQuote">
    <w:name w:val="Intense Quote"/>
    <w:basedOn w:val="Normal"/>
    <w:next w:val="Normal"/>
    <w:link w:val="IntenseQuoteChar"/>
    <w:uiPriority w:val="30"/>
    <w:qFormat/>
    <w:rsid w:val="000A5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328"/>
    <w:rPr>
      <w:i/>
      <w:iCs/>
      <w:color w:val="0F4761" w:themeColor="accent1" w:themeShade="BF"/>
    </w:rPr>
  </w:style>
  <w:style w:type="character" w:styleId="IntenseReference">
    <w:name w:val="Intense Reference"/>
    <w:basedOn w:val="DefaultParagraphFont"/>
    <w:uiPriority w:val="32"/>
    <w:qFormat/>
    <w:rsid w:val="000A5328"/>
    <w:rPr>
      <w:b/>
      <w:bCs/>
      <w:smallCaps/>
      <w:color w:val="0F4761" w:themeColor="accent1" w:themeShade="BF"/>
      <w:spacing w:val="5"/>
    </w:rPr>
  </w:style>
  <w:style w:type="character" w:styleId="Hyperlink">
    <w:name w:val="Hyperlink"/>
    <w:basedOn w:val="DefaultParagraphFont"/>
    <w:uiPriority w:val="99"/>
    <w:unhideWhenUsed/>
    <w:rsid w:val="000A5328"/>
    <w:rPr>
      <w:color w:val="467886" w:themeColor="hyperlink"/>
      <w:u w:val="single"/>
    </w:rPr>
  </w:style>
  <w:style w:type="character" w:styleId="UnresolvedMention">
    <w:name w:val="Unresolved Mention"/>
    <w:basedOn w:val="DefaultParagraphFont"/>
    <w:uiPriority w:val="99"/>
    <w:semiHidden/>
    <w:unhideWhenUsed/>
    <w:rsid w:val="000A5328"/>
    <w:rPr>
      <w:color w:val="605E5C"/>
      <w:shd w:val="clear" w:color="auto" w:fill="E1DFDD"/>
    </w:rPr>
  </w:style>
  <w:style w:type="paragraph" w:styleId="Header">
    <w:name w:val="header"/>
    <w:basedOn w:val="Normal"/>
    <w:link w:val="HeaderChar"/>
    <w:uiPriority w:val="99"/>
    <w:unhideWhenUsed/>
    <w:rsid w:val="000A5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328"/>
  </w:style>
  <w:style w:type="paragraph" w:styleId="Footer">
    <w:name w:val="footer"/>
    <w:basedOn w:val="Normal"/>
    <w:link w:val="FooterChar"/>
    <w:uiPriority w:val="99"/>
    <w:unhideWhenUsed/>
    <w:rsid w:val="000A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328"/>
  </w:style>
  <w:style w:type="paragraph" w:styleId="NormalWeb">
    <w:name w:val="Normal (Web)"/>
    <w:basedOn w:val="Normal"/>
    <w:uiPriority w:val="99"/>
    <w:semiHidden/>
    <w:unhideWhenUsed/>
    <w:rsid w:val="00BC2B6F"/>
    <w:rPr>
      <w:rFonts w:ascii="Times New Roman" w:hAnsi="Times New Roman" w:cs="Times New Roman"/>
      <w:sz w:val="24"/>
      <w:szCs w:val="24"/>
    </w:rPr>
  </w:style>
  <w:style w:type="paragraph" w:styleId="NoSpacing">
    <w:name w:val="No Spacing"/>
    <w:uiPriority w:val="1"/>
    <w:qFormat/>
    <w:rsid w:val="005C4560"/>
    <w:pPr>
      <w:spacing w:after="0" w:line="240" w:lineRule="auto"/>
    </w:pPr>
  </w:style>
  <w:style w:type="table" w:styleId="TableGrid">
    <w:name w:val="Table Grid"/>
    <w:basedOn w:val="TableNormal"/>
    <w:uiPriority w:val="39"/>
    <w:rsid w:val="00E5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208">
      <w:bodyDiv w:val="1"/>
      <w:marLeft w:val="0"/>
      <w:marRight w:val="0"/>
      <w:marTop w:val="0"/>
      <w:marBottom w:val="0"/>
      <w:divBdr>
        <w:top w:val="none" w:sz="0" w:space="0" w:color="auto"/>
        <w:left w:val="none" w:sz="0" w:space="0" w:color="auto"/>
        <w:bottom w:val="none" w:sz="0" w:space="0" w:color="auto"/>
        <w:right w:val="none" w:sz="0" w:space="0" w:color="auto"/>
      </w:divBdr>
    </w:div>
    <w:div w:id="418718470">
      <w:bodyDiv w:val="1"/>
      <w:marLeft w:val="0"/>
      <w:marRight w:val="0"/>
      <w:marTop w:val="0"/>
      <w:marBottom w:val="0"/>
      <w:divBdr>
        <w:top w:val="none" w:sz="0" w:space="0" w:color="auto"/>
        <w:left w:val="none" w:sz="0" w:space="0" w:color="auto"/>
        <w:bottom w:val="none" w:sz="0" w:space="0" w:color="auto"/>
        <w:right w:val="none" w:sz="0" w:space="0" w:color="auto"/>
      </w:divBdr>
    </w:div>
    <w:div w:id="581060791">
      <w:bodyDiv w:val="1"/>
      <w:marLeft w:val="0"/>
      <w:marRight w:val="0"/>
      <w:marTop w:val="0"/>
      <w:marBottom w:val="0"/>
      <w:divBdr>
        <w:top w:val="none" w:sz="0" w:space="0" w:color="auto"/>
        <w:left w:val="none" w:sz="0" w:space="0" w:color="auto"/>
        <w:bottom w:val="none" w:sz="0" w:space="0" w:color="auto"/>
        <w:right w:val="none" w:sz="0" w:space="0" w:color="auto"/>
      </w:divBdr>
    </w:div>
    <w:div w:id="719748148">
      <w:bodyDiv w:val="1"/>
      <w:marLeft w:val="0"/>
      <w:marRight w:val="0"/>
      <w:marTop w:val="0"/>
      <w:marBottom w:val="0"/>
      <w:divBdr>
        <w:top w:val="none" w:sz="0" w:space="0" w:color="auto"/>
        <w:left w:val="none" w:sz="0" w:space="0" w:color="auto"/>
        <w:bottom w:val="none" w:sz="0" w:space="0" w:color="auto"/>
        <w:right w:val="none" w:sz="0" w:space="0" w:color="auto"/>
      </w:divBdr>
    </w:div>
    <w:div w:id="770705567">
      <w:bodyDiv w:val="1"/>
      <w:marLeft w:val="0"/>
      <w:marRight w:val="0"/>
      <w:marTop w:val="0"/>
      <w:marBottom w:val="0"/>
      <w:divBdr>
        <w:top w:val="none" w:sz="0" w:space="0" w:color="auto"/>
        <w:left w:val="none" w:sz="0" w:space="0" w:color="auto"/>
        <w:bottom w:val="none" w:sz="0" w:space="0" w:color="auto"/>
        <w:right w:val="none" w:sz="0" w:space="0" w:color="auto"/>
      </w:divBdr>
    </w:div>
    <w:div w:id="903249439">
      <w:bodyDiv w:val="1"/>
      <w:marLeft w:val="0"/>
      <w:marRight w:val="0"/>
      <w:marTop w:val="0"/>
      <w:marBottom w:val="0"/>
      <w:divBdr>
        <w:top w:val="none" w:sz="0" w:space="0" w:color="auto"/>
        <w:left w:val="none" w:sz="0" w:space="0" w:color="auto"/>
        <w:bottom w:val="none" w:sz="0" w:space="0" w:color="auto"/>
        <w:right w:val="none" w:sz="0" w:space="0" w:color="auto"/>
      </w:divBdr>
    </w:div>
    <w:div w:id="1287543241">
      <w:bodyDiv w:val="1"/>
      <w:marLeft w:val="0"/>
      <w:marRight w:val="0"/>
      <w:marTop w:val="0"/>
      <w:marBottom w:val="0"/>
      <w:divBdr>
        <w:top w:val="none" w:sz="0" w:space="0" w:color="auto"/>
        <w:left w:val="none" w:sz="0" w:space="0" w:color="auto"/>
        <w:bottom w:val="none" w:sz="0" w:space="0" w:color="auto"/>
        <w:right w:val="none" w:sz="0" w:space="0" w:color="auto"/>
      </w:divBdr>
    </w:div>
    <w:div w:id="19854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lan-for-neighbourhoods-prospectus-and-t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eorge@mansfiel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1dc007-5375-464c-8dd2-7e97bf2da254" xsi:nil="true"/>
    <lcf76f155ced4ddcb4097134ff3c332f xmlns="4ee32298-ff19-4e8a-be99-413497f03187">
      <Terms xmlns="http://schemas.microsoft.com/office/infopath/2007/PartnerControls"/>
    </lcf76f155ced4ddcb4097134ff3c332f>
    <_dlc_DocId xmlns="481dc007-5375-464c-8dd2-7e97bf2da254" xsi:nil="true"/>
    <_dlc_DocIdUrl xmlns="481dc007-5375-464c-8dd2-7e97bf2da254">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CFE879DF558140A0D8D02BE28F2264" ma:contentTypeVersion="14" ma:contentTypeDescription="Create a new document." ma:contentTypeScope="" ma:versionID="ae6d72ce0bcfce695a94d18db6471996">
  <xsd:schema xmlns:xsd="http://www.w3.org/2001/XMLSchema" xmlns:xs="http://www.w3.org/2001/XMLSchema" xmlns:p="http://schemas.microsoft.com/office/2006/metadata/properties" xmlns:ns2="481dc007-5375-464c-8dd2-7e97bf2da254" xmlns:ns3="4ee32298-ff19-4e8a-be99-413497f03187" targetNamespace="http://schemas.microsoft.com/office/2006/metadata/properties" ma:root="true" ma:fieldsID="f521105b8bd8781451db925ce0597197" ns2:_="" ns3:_="">
    <xsd:import namespace="481dc007-5375-464c-8dd2-7e97bf2da254"/>
    <xsd:import namespace="4ee32298-ff19-4e8a-be99-413497f031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c007-5375-464c-8dd2-7e97bf2da2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1e970-a548-49e6-b14e-c1e2fb90aa1a}" ma:internalName="TaxCatchAll" ma:showField="CatchAllData" ma:web="481dc007-5375-464c-8dd2-7e97bf2da2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32298-ff19-4e8a-be99-413497f031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AD59E-A7A5-4283-BD64-12C397FEF7A6}">
  <ds:schemaRefs>
    <ds:schemaRef ds:uri="http://schemas.microsoft.com/sharepoint/events"/>
  </ds:schemaRefs>
</ds:datastoreItem>
</file>

<file path=customXml/itemProps2.xml><?xml version="1.0" encoding="utf-8"?>
<ds:datastoreItem xmlns:ds="http://schemas.openxmlformats.org/officeDocument/2006/customXml" ds:itemID="{E3E655A7-20FF-4F0B-839F-9E5CF1492EE0}">
  <ds:schemaRefs>
    <ds:schemaRef ds:uri="http://schemas.microsoft.com/sharepoint/v3/contenttype/forms"/>
  </ds:schemaRefs>
</ds:datastoreItem>
</file>

<file path=customXml/itemProps3.xml><?xml version="1.0" encoding="utf-8"?>
<ds:datastoreItem xmlns:ds="http://schemas.openxmlformats.org/officeDocument/2006/customXml" ds:itemID="{B4982FD7-2F3A-457A-AF5B-D83F8586BA98}">
  <ds:schemaRefs>
    <ds:schemaRef ds:uri="http://schemas.microsoft.com/office/2006/metadata/properties"/>
    <ds:schemaRef ds:uri="http://schemas.microsoft.com/office/infopath/2007/PartnerControls"/>
    <ds:schemaRef ds:uri="481dc007-5375-464c-8dd2-7e97bf2da254"/>
    <ds:schemaRef ds:uri="4ee32298-ff19-4e8a-be99-413497f03187"/>
  </ds:schemaRefs>
</ds:datastoreItem>
</file>

<file path=customXml/itemProps4.xml><?xml version="1.0" encoding="utf-8"?>
<ds:datastoreItem xmlns:ds="http://schemas.openxmlformats.org/officeDocument/2006/customXml" ds:itemID="{34A77ADC-34E8-42F6-B0AB-1AB342B3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c007-5375-464c-8dd2-7e97bf2da254"/>
    <ds:schemaRef ds:uri="4ee32298-ff19-4e8a-be99-413497f03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Biddlestone</dc:creator>
  <cp:keywords/>
  <dc:description/>
  <cp:lastModifiedBy>Geoff George</cp:lastModifiedBy>
  <cp:revision>8</cp:revision>
  <dcterms:created xsi:type="dcterms:W3CDTF">2025-03-31T19:21:00Z</dcterms:created>
  <dcterms:modified xsi:type="dcterms:W3CDTF">2025-04-01T08:06:00Z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0x010100D4CFE879DF558140A0D8D02BE28F2264</vt:lpwstr>
  </property>
  <property fmtid="{D5CDD505-2E9C-101B-9397-08002B2CF9AE}" pid="3" name="_dlc_DocIdItemGuid">
    <vt:lpwstr>ff83fde9-7af5-437a-b259-cb8d98494954</vt:lpwstr>
  </property>
</Properties>
</file>