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AF2D" w14:textId="77777777" w:rsidR="002455D5" w:rsidRPr="00B57900" w:rsidRDefault="002455D5" w:rsidP="002455D5">
      <w:pPr>
        <w:pStyle w:val="NoSpacing"/>
        <w:jc w:val="center"/>
        <w:rPr>
          <w:rFonts w:ascii="Arial" w:hAnsi="Arial" w:cs="Arial"/>
          <w:b/>
          <w:bCs/>
          <w:sz w:val="24"/>
          <w:szCs w:val="24"/>
        </w:rPr>
      </w:pPr>
      <w:r w:rsidRPr="00B57900">
        <w:rPr>
          <w:rFonts w:ascii="Arial" w:hAnsi="Arial" w:cs="Arial"/>
          <w:b/>
          <w:bCs/>
          <w:sz w:val="24"/>
          <w:szCs w:val="24"/>
        </w:rPr>
        <w:t>Mansfield Place Board</w:t>
      </w:r>
    </w:p>
    <w:p w14:paraId="7D893EAA" w14:textId="77777777" w:rsidR="002455D5" w:rsidRPr="00B57900" w:rsidRDefault="002455D5" w:rsidP="002455D5">
      <w:pPr>
        <w:pStyle w:val="NoSpacing"/>
        <w:jc w:val="center"/>
        <w:rPr>
          <w:rFonts w:ascii="Arial" w:hAnsi="Arial" w:cs="Arial"/>
          <w:b/>
          <w:bCs/>
          <w:sz w:val="24"/>
          <w:szCs w:val="24"/>
        </w:rPr>
      </w:pPr>
      <w:r w:rsidRPr="00B57900">
        <w:rPr>
          <w:rFonts w:ascii="Arial" w:hAnsi="Arial" w:cs="Arial"/>
          <w:b/>
          <w:bCs/>
          <w:sz w:val="24"/>
          <w:szCs w:val="24"/>
        </w:rPr>
        <w:t>Core Group Meeting</w:t>
      </w:r>
    </w:p>
    <w:p w14:paraId="15360090" w14:textId="77777777" w:rsidR="002455D5" w:rsidRPr="004F2EBD" w:rsidRDefault="002455D5" w:rsidP="002455D5">
      <w:pPr>
        <w:pStyle w:val="NoSpacing"/>
        <w:jc w:val="center"/>
        <w:rPr>
          <w:rFonts w:ascii="Arial" w:hAnsi="Arial" w:cs="Arial"/>
          <w:b/>
          <w:bCs/>
          <w:sz w:val="24"/>
          <w:szCs w:val="24"/>
        </w:rPr>
      </w:pPr>
    </w:p>
    <w:p w14:paraId="53C05114" w14:textId="77777777" w:rsidR="002455D5" w:rsidRPr="004F2EBD" w:rsidRDefault="002455D5" w:rsidP="002455D5">
      <w:pPr>
        <w:pStyle w:val="NoSpacing"/>
        <w:jc w:val="center"/>
        <w:rPr>
          <w:rFonts w:ascii="Arial" w:hAnsi="Arial" w:cs="Arial"/>
          <w:b/>
          <w:bCs/>
          <w:sz w:val="24"/>
          <w:szCs w:val="24"/>
        </w:rPr>
      </w:pPr>
      <w:r w:rsidRPr="004F2EBD">
        <w:rPr>
          <w:rFonts w:ascii="Arial" w:hAnsi="Arial" w:cs="Arial"/>
          <w:b/>
          <w:bCs/>
          <w:sz w:val="24"/>
          <w:szCs w:val="24"/>
        </w:rPr>
        <w:t>3</w:t>
      </w:r>
      <w:r w:rsidRPr="004F2EBD">
        <w:rPr>
          <w:rFonts w:ascii="Arial" w:hAnsi="Arial" w:cs="Arial"/>
          <w:b/>
          <w:bCs/>
          <w:sz w:val="24"/>
          <w:szCs w:val="24"/>
          <w:vertAlign w:val="superscript"/>
        </w:rPr>
        <w:t>rd</w:t>
      </w:r>
      <w:r w:rsidRPr="004F2EBD">
        <w:rPr>
          <w:rFonts w:ascii="Arial" w:hAnsi="Arial" w:cs="Arial"/>
          <w:b/>
          <w:bCs/>
          <w:sz w:val="24"/>
          <w:szCs w:val="24"/>
        </w:rPr>
        <w:t xml:space="preserve"> April 2025</w:t>
      </w:r>
    </w:p>
    <w:p w14:paraId="13F35205" w14:textId="77777777" w:rsidR="002455D5" w:rsidRPr="004F2EBD" w:rsidRDefault="002455D5" w:rsidP="002455D5">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3681"/>
        <w:gridCol w:w="5335"/>
      </w:tblGrid>
      <w:tr w:rsidR="002455D5" w:rsidRPr="004F2EBD" w14:paraId="6159825E" w14:textId="77777777" w:rsidTr="006C6617">
        <w:tc>
          <w:tcPr>
            <w:tcW w:w="3681" w:type="dxa"/>
          </w:tcPr>
          <w:p w14:paraId="789E56EA" w14:textId="77777777" w:rsidR="002455D5" w:rsidRPr="004F2EBD" w:rsidRDefault="002455D5" w:rsidP="006C6617">
            <w:pPr>
              <w:pStyle w:val="NoSpacing"/>
              <w:rPr>
                <w:rFonts w:ascii="Arial" w:hAnsi="Arial" w:cs="Arial"/>
                <w:sz w:val="24"/>
                <w:szCs w:val="24"/>
              </w:rPr>
            </w:pPr>
            <w:r w:rsidRPr="004F2EBD">
              <w:rPr>
                <w:rFonts w:ascii="Arial" w:hAnsi="Arial" w:cs="Arial"/>
                <w:sz w:val="24"/>
                <w:szCs w:val="24"/>
              </w:rPr>
              <w:t xml:space="preserve">Agenda Item No. </w:t>
            </w:r>
          </w:p>
        </w:tc>
        <w:tc>
          <w:tcPr>
            <w:tcW w:w="5335" w:type="dxa"/>
          </w:tcPr>
          <w:p w14:paraId="6D794BB0" w14:textId="77777777" w:rsidR="002455D5" w:rsidRPr="004F2EBD" w:rsidRDefault="002455D5" w:rsidP="006C6617">
            <w:pPr>
              <w:pStyle w:val="NoSpacing"/>
              <w:rPr>
                <w:rFonts w:ascii="Arial" w:hAnsi="Arial" w:cs="Arial"/>
                <w:sz w:val="24"/>
                <w:szCs w:val="24"/>
              </w:rPr>
            </w:pPr>
          </w:p>
        </w:tc>
      </w:tr>
      <w:tr w:rsidR="002455D5" w:rsidRPr="004F2EBD" w14:paraId="17BB9356" w14:textId="77777777" w:rsidTr="006C6617">
        <w:tc>
          <w:tcPr>
            <w:tcW w:w="3681" w:type="dxa"/>
          </w:tcPr>
          <w:p w14:paraId="41EB2B7C" w14:textId="77777777" w:rsidR="002455D5" w:rsidRPr="004F2EBD" w:rsidRDefault="002455D5" w:rsidP="006C6617">
            <w:pPr>
              <w:pStyle w:val="NoSpacing"/>
              <w:rPr>
                <w:rFonts w:ascii="Arial" w:hAnsi="Arial" w:cs="Arial"/>
                <w:sz w:val="24"/>
                <w:szCs w:val="24"/>
              </w:rPr>
            </w:pPr>
            <w:r w:rsidRPr="004F2EBD">
              <w:rPr>
                <w:rFonts w:ascii="Arial" w:hAnsi="Arial" w:cs="Arial"/>
                <w:sz w:val="24"/>
                <w:szCs w:val="24"/>
              </w:rPr>
              <w:t>Presenting Organisation</w:t>
            </w:r>
          </w:p>
        </w:tc>
        <w:tc>
          <w:tcPr>
            <w:tcW w:w="5335" w:type="dxa"/>
          </w:tcPr>
          <w:p w14:paraId="75F01DFE" w14:textId="77777777" w:rsidR="002455D5" w:rsidRPr="004F2EBD" w:rsidRDefault="002455D5" w:rsidP="006C6617">
            <w:pPr>
              <w:pStyle w:val="NoSpacing"/>
              <w:rPr>
                <w:rFonts w:ascii="Arial" w:hAnsi="Arial" w:cs="Arial"/>
                <w:sz w:val="24"/>
                <w:szCs w:val="24"/>
              </w:rPr>
            </w:pPr>
            <w:r w:rsidRPr="004F2EBD">
              <w:rPr>
                <w:rFonts w:ascii="Arial" w:hAnsi="Arial" w:cs="Arial"/>
                <w:sz w:val="24"/>
                <w:szCs w:val="24"/>
              </w:rPr>
              <w:t>Mansfield DC</w:t>
            </w:r>
          </w:p>
        </w:tc>
      </w:tr>
      <w:tr w:rsidR="002455D5" w:rsidRPr="004F2EBD" w14:paraId="3B8A0C24" w14:textId="77777777" w:rsidTr="006C6617">
        <w:tc>
          <w:tcPr>
            <w:tcW w:w="3681" w:type="dxa"/>
          </w:tcPr>
          <w:p w14:paraId="120FF9AD" w14:textId="77777777" w:rsidR="002455D5" w:rsidRPr="004F2EBD" w:rsidRDefault="002455D5" w:rsidP="006C6617">
            <w:pPr>
              <w:pStyle w:val="NoSpacing"/>
              <w:rPr>
                <w:rFonts w:ascii="Arial" w:hAnsi="Arial" w:cs="Arial"/>
                <w:sz w:val="24"/>
                <w:szCs w:val="24"/>
              </w:rPr>
            </w:pPr>
            <w:r w:rsidRPr="004F2EBD">
              <w:rPr>
                <w:rFonts w:ascii="Arial" w:hAnsi="Arial" w:cs="Arial"/>
                <w:sz w:val="24"/>
                <w:szCs w:val="24"/>
              </w:rPr>
              <w:t xml:space="preserve">Report Author and Contact Details </w:t>
            </w:r>
          </w:p>
        </w:tc>
        <w:tc>
          <w:tcPr>
            <w:tcW w:w="5335" w:type="dxa"/>
          </w:tcPr>
          <w:p w14:paraId="09EA1481" w14:textId="77777777" w:rsidR="002455D5" w:rsidRPr="004F2EBD" w:rsidRDefault="002455D5" w:rsidP="006C6617">
            <w:pPr>
              <w:pStyle w:val="NoSpacing"/>
              <w:rPr>
                <w:rFonts w:ascii="Arial" w:hAnsi="Arial" w:cs="Arial"/>
                <w:sz w:val="24"/>
                <w:szCs w:val="24"/>
              </w:rPr>
            </w:pPr>
            <w:r w:rsidRPr="004F2EBD">
              <w:rPr>
                <w:rFonts w:ascii="Arial" w:hAnsi="Arial" w:cs="Arial"/>
                <w:sz w:val="24"/>
                <w:szCs w:val="24"/>
              </w:rPr>
              <w:t>Geoff George, Regeneration Manager</w:t>
            </w:r>
          </w:p>
          <w:p w14:paraId="7421443E" w14:textId="77777777" w:rsidR="002455D5" w:rsidRPr="004F2EBD" w:rsidRDefault="002455D5" w:rsidP="006C6617">
            <w:pPr>
              <w:pStyle w:val="NoSpacing"/>
              <w:rPr>
                <w:rFonts w:ascii="Arial" w:hAnsi="Arial" w:cs="Arial"/>
                <w:sz w:val="24"/>
                <w:szCs w:val="24"/>
              </w:rPr>
            </w:pPr>
            <w:hyperlink r:id="rId8" w:history="1">
              <w:r w:rsidRPr="004F2EBD">
                <w:rPr>
                  <w:rStyle w:val="Hyperlink"/>
                  <w:rFonts w:ascii="Arial" w:hAnsi="Arial" w:cs="Arial"/>
                  <w:sz w:val="24"/>
                  <w:szCs w:val="24"/>
                </w:rPr>
                <w:t>ggeorge@mansfield.gov.uk</w:t>
              </w:r>
            </w:hyperlink>
          </w:p>
          <w:p w14:paraId="3B44053F" w14:textId="37C05708" w:rsidR="002455D5" w:rsidRPr="004F2EBD" w:rsidRDefault="002455D5" w:rsidP="006C6617">
            <w:pPr>
              <w:pStyle w:val="NoSpacing"/>
              <w:rPr>
                <w:rFonts w:ascii="Arial" w:hAnsi="Arial" w:cs="Arial"/>
                <w:sz w:val="24"/>
                <w:szCs w:val="24"/>
              </w:rPr>
            </w:pPr>
            <w:r w:rsidRPr="004F2EBD">
              <w:rPr>
                <w:rFonts w:ascii="Arial" w:hAnsi="Arial" w:cs="Arial"/>
                <w:sz w:val="24"/>
                <w:szCs w:val="24"/>
              </w:rPr>
              <w:t xml:space="preserve">(01623) </w:t>
            </w:r>
            <w:r w:rsidR="005C0644">
              <w:rPr>
                <w:rFonts w:ascii="Arial" w:hAnsi="Arial" w:cs="Arial"/>
                <w:sz w:val="24"/>
                <w:szCs w:val="24"/>
              </w:rPr>
              <w:t>463 283</w:t>
            </w:r>
          </w:p>
        </w:tc>
      </w:tr>
    </w:tbl>
    <w:p w14:paraId="3A009B25" w14:textId="77777777" w:rsidR="002455D5" w:rsidRPr="004F2EBD" w:rsidRDefault="002455D5" w:rsidP="002455D5">
      <w:pPr>
        <w:pStyle w:val="NoSpacing"/>
        <w:rPr>
          <w:rFonts w:ascii="Arial" w:hAnsi="Arial" w:cs="Arial"/>
          <w:sz w:val="24"/>
          <w:szCs w:val="24"/>
        </w:rPr>
      </w:pPr>
    </w:p>
    <w:p w14:paraId="3FABC3AB" w14:textId="65721560" w:rsidR="00722170" w:rsidRPr="004F2EBD" w:rsidRDefault="00722170" w:rsidP="00722170">
      <w:pPr>
        <w:pStyle w:val="NoSpacing"/>
        <w:jc w:val="center"/>
        <w:rPr>
          <w:rFonts w:ascii="Arial" w:hAnsi="Arial" w:cs="Arial"/>
          <w:b/>
          <w:bCs/>
          <w:sz w:val="24"/>
          <w:szCs w:val="24"/>
        </w:rPr>
      </w:pPr>
      <w:r>
        <w:rPr>
          <w:rFonts w:ascii="Arial" w:hAnsi="Arial" w:cs="Arial"/>
          <w:b/>
          <w:bCs/>
          <w:sz w:val="24"/>
          <w:szCs w:val="24"/>
        </w:rPr>
        <w:t>Funding Update</w:t>
      </w:r>
    </w:p>
    <w:p w14:paraId="69085188" w14:textId="77777777" w:rsidR="002455D5" w:rsidRPr="004F2EBD" w:rsidRDefault="002455D5" w:rsidP="002455D5">
      <w:pPr>
        <w:pStyle w:val="NoSpacing"/>
        <w:rPr>
          <w:rFonts w:ascii="Arial" w:hAnsi="Arial" w:cs="Arial"/>
          <w:sz w:val="24"/>
          <w:szCs w:val="24"/>
        </w:rPr>
      </w:pPr>
    </w:p>
    <w:p w14:paraId="2ECDCACD" w14:textId="42E814EB" w:rsidR="002455D5" w:rsidRPr="004F2EBD" w:rsidRDefault="008A4056" w:rsidP="002455D5">
      <w:pPr>
        <w:pStyle w:val="NoSpacing"/>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002455D5" w:rsidRPr="004F2EBD">
        <w:rPr>
          <w:rFonts w:ascii="Arial" w:hAnsi="Arial" w:cs="Arial"/>
          <w:b/>
          <w:bCs/>
          <w:sz w:val="24"/>
          <w:szCs w:val="24"/>
        </w:rPr>
        <w:t>Purpose of Report</w:t>
      </w:r>
    </w:p>
    <w:p w14:paraId="27E9DBA9" w14:textId="77777777" w:rsidR="002455D5" w:rsidRPr="004F2EBD" w:rsidRDefault="002455D5" w:rsidP="002455D5">
      <w:pPr>
        <w:pStyle w:val="NoSpacing"/>
        <w:rPr>
          <w:rFonts w:ascii="Arial" w:hAnsi="Arial" w:cs="Arial"/>
          <w:sz w:val="24"/>
          <w:szCs w:val="24"/>
        </w:rPr>
      </w:pPr>
    </w:p>
    <w:p w14:paraId="519CBD48" w14:textId="4D121A21" w:rsidR="002455D5" w:rsidRPr="00AA29FB" w:rsidRDefault="008A4056" w:rsidP="008A4056">
      <w:pPr>
        <w:pStyle w:val="NoSpacing"/>
        <w:ind w:left="720" w:hanging="720"/>
        <w:rPr>
          <w:rFonts w:ascii="Arial" w:hAnsi="Arial" w:cs="Arial"/>
          <w:sz w:val="24"/>
          <w:szCs w:val="24"/>
        </w:rPr>
      </w:pPr>
      <w:r>
        <w:rPr>
          <w:rFonts w:ascii="Arial" w:hAnsi="Arial" w:cs="Arial"/>
          <w:sz w:val="24"/>
          <w:szCs w:val="24"/>
        </w:rPr>
        <w:t>1.1</w:t>
      </w:r>
      <w:r>
        <w:rPr>
          <w:rFonts w:ascii="Arial" w:hAnsi="Arial" w:cs="Arial"/>
          <w:sz w:val="24"/>
          <w:szCs w:val="24"/>
        </w:rPr>
        <w:tab/>
      </w:r>
      <w:r w:rsidR="002455D5" w:rsidRPr="004F2EBD">
        <w:rPr>
          <w:rFonts w:ascii="Arial" w:hAnsi="Arial" w:cs="Arial"/>
          <w:sz w:val="24"/>
          <w:szCs w:val="24"/>
        </w:rPr>
        <w:t xml:space="preserve">To </w:t>
      </w:r>
      <w:r w:rsidR="00400691" w:rsidRPr="00AA29FB">
        <w:rPr>
          <w:rFonts w:ascii="Arial" w:hAnsi="Arial" w:cs="Arial"/>
          <w:sz w:val="24"/>
          <w:szCs w:val="24"/>
        </w:rPr>
        <w:t xml:space="preserve">confirm the latest </w:t>
      </w:r>
      <w:r w:rsidR="00030FE0">
        <w:rPr>
          <w:rFonts w:ascii="Arial" w:hAnsi="Arial" w:cs="Arial"/>
          <w:sz w:val="24"/>
          <w:szCs w:val="24"/>
        </w:rPr>
        <w:t xml:space="preserve">summary </w:t>
      </w:r>
      <w:r w:rsidR="00400691" w:rsidRPr="00AA29FB">
        <w:rPr>
          <w:rFonts w:ascii="Arial" w:hAnsi="Arial" w:cs="Arial"/>
          <w:sz w:val="24"/>
          <w:szCs w:val="24"/>
        </w:rPr>
        <w:t xml:space="preserve">on the </w:t>
      </w:r>
      <w:r w:rsidR="00381912">
        <w:rPr>
          <w:rFonts w:ascii="Arial" w:hAnsi="Arial" w:cs="Arial"/>
          <w:sz w:val="24"/>
          <w:szCs w:val="24"/>
        </w:rPr>
        <w:t xml:space="preserve">revenue </w:t>
      </w:r>
      <w:r w:rsidR="0062615E">
        <w:rPr>
          <w:rFonts w:ascii="Arial" w:hAnsi="Arial" w:cs="Arial"/>
          <w:sz w:val="24"/>
          <w:szCs w:val="24"/>
        </w:rPr>
        <w:t xml:space="preserve">and capital </w:t>
      </w:r>
      <w:r w:rsidR="00381912">
        <w:rPr>
          <w:rFonts w:ascii="Arial" w:hAnsi="Arial" w:cs="Arial"/>
          <w:sz w:val="24"/>
          <w:szCs w:val="24"/>
        </w:rPr>
        <w:t>funding</w:t>
      </w:r>
      <w:r w:rsidR="00CF30B5">
        <w:rPr>
          <w:rFonts w:ascii="Arial" w:hAnsi="Arial" w:cs="Arial"/>
          <w:sz w:val="24"/>
          <w:szCs w:val="24"/>
        </w:rPr>
        <w:t xml:space="preserve"> made</w:t>
      </w:r>
      <w:r w:rsidR="00381912">
        <w:rPr>
          <w:rFonts w:ascii="Arial" w:hAnsi="Arial" w:cs="Arial"/>
          <w:sz w:val="24"/>
          <w:szCs w:val="24"/>
        </w:rPr>
        <w:t xml:space="preserve"> available </w:t>
      </w:r>
      <w:r w:rsidR="00722170">
        <w:rPr>
          <w:rFonts w:ascii="Arial" w:hAnsi="Arial" w:cs="Arial"/>
          <w:sz w:val="24"/>
          <w:szCs w:val="24"/>
        </w:rPr>
        <w:t xml:space="preserve">via </w:t>
      </w:r>
      <w:r w:rsidR="0062615E">
        <w:rPr>
          <w:rFonts w:ascii="Arial" w:hAnsi="Arial" w:cs="Arial"/>
          <w:sz w:val="24"/>
          <w:szCs w:val="24"/>
        </w:rPr>
        <w:t>the external funding programmes</w:t>
      </w:r>
      <w:r w:rsidR="002943B2">
        <w:rPr>
          <w:rFonts w:ascii="Arial" w:hAnsi="Arial" w:cs="Arial"/>
          <w:sz w:val="24"/>
          <w:szCs w:val="24"/>
        </w:rPr>
        <w:t xml:space="preserve"> </w:t>
      </w:r>
      <w:r w:rsidR="00CA08DA" w:rsidRPr="00AA29FB">
        <w:rPr>
          <w:rFonts w:ascii="Arial" w:hAnsi="Arial" w:cs="Arial"/>
          <w:sz w:val="24"/>
          <w:szCs w:val="24"/>
        </w:rPr>
        <w:t xml:space="preserve">as </w:t>
      </w:r>
      <w:r w:rsidR="00042525" w:rsidRPr="00AA29FB">
        <w:rPr>
          <w:rFonts w:ascii="Arial" w:hAnsi="Arial" w:cs="Arial"/>
          <w:sz w:val="24"/>
          <w:szCs w:val="24"/>
        </w:rPr>
        <w:t xml:space="preserve">previously </w:t>
      </w:r>
      <w:r w:rsidR="00CA08DA" w:rsidRPr="00AA29FB">
        <w:rPr>
          <w:rFonts w:ascii="Arial" w:hAnsi="Arial" w:cs="Arial"/>
          <w:sz w:val="24"/>
          <w:szCs w:val="24"/>
        </w:rPr>
        <w:t xml:space="preserve">summarised at the </w:t>
      </w:r>
      <w:proofErr w:type="gramStart"/>
      <w:r w:rsidR="00674610" w:rsidRPr="00AA29FB">
        <w:rPr>
          <w:rFonts w:ascii="Arial" w:hAnsi="Arial" w:cs="Arial"/>
          <w:sz w:val="24"/>
          <w:szCs w:val="24"/>
        </w:rPr>
        <w:t>6</w:t>
      </w:r>
      <w:r w:rsidR="00674610" w:rsidRPr="00AA29FB">
        <w:rPr>
          <w:rFonts w:ascii="Arial" w:hAnsi="Arial" w:cs="Arial"/>
          <w:sz w:val="24"/>
          <w:szCs w:val="24"/>
          <w:vertAlign w:val="superscript"/>
        </w:rPr>
        <w:t>th</w:t>
      </w:r>
      <w:proofErr w:type="gramEnd"/>
      <w:r w:rsidR="00674610" w:rsidRPr="00AA29FB">
        <w:rPr>
          <w:rFonts w:ascii="Arial" w:hAnsi="Arial" w:cs="Arial"/>
          <w:sz w:val="24"/>
          <w:szCs w:val="24"/>
        </w:rPr>
        <w:t xml:space="preserve"> February 2025</w:t>
      </w:r>
      <w:r w:rsidR="00667A68" w:rsidRPr="00AA29FB">
        <w:rPr>
          <w:rFonts w:ascii="Arial" w:hAnsi="Arial" w:cs="Arial"/>
          <w:sz w:val="24"/>
          <w:szCs w:val="24"/>
        </w:rPr>
        <w:t xml:space="preserve"> Core Group meeting</w:t>
      </w:r>
      <w:r w:rsidR="00042525" w:rsidRPr="00AA29FB">
        <w:rPr>
          <w:rFonts w:ascii="Arial" w:hAnsi="Arial" w:cs="Arial"/>
          <w:sz w:val="24"/>
          <w:szCs w:val="24"/>
        </w:rPr>
        <w:t>, with members requesting</w:t>
      </w:r>
      <w:r w:rsidR="00406A47">
        <w:rPr>
          <w:rFonts w:ascii="Arial" w:hAnsi="Arial" w:cs="Arial"/>
          <w:sz w:val="24"/>
          <w:szCs w:val="24"/>
        </w:rPr>
        <w:t xml:space="preserve"> </w:t>
      </w:r>
      <w:r w:rsidR="00722170">
        <w:rPr>
          <w:rFonts w:ascii="Arial" w:hAnsi="Arial" w:cs="Arial"/>
          <w:sz w:val="24"/>
          <w:szCs w:val="24"/>
        </w:rPr>
        <w:t>further</w:t>
      </w:r>
      <w:r w:rsidR="00042525" w:rsidRPr="00AA29FB">
        <w:rPr>
          <w:rFonts w:ascii="Arial" w:hAnsi="Arial" w:cs="Arial"/>
          <w:sz w:val="24"/>
          <w:szCs w:val="24"/>
        </w:rPr>
        <w:t xml:space="preserve"> insight at the next </w:t>
      </w:r>
      <w:r w:rsidR="00AA29FB" w:rsidRPr="00AA29FB">
        <w:rPr>
          <w:rFonts w:ascii="Arial" w:hAnsi="Arial" w:cs="Arial"/>
          <w:sz w:val="24"/>
          <w:szCs w:val="24"/>
        </w:rPr>
        <w:t xml:space="preserve">appropriate </w:t>
      </w:r>
      <w:r w:rsidR="00042525" w:rsidRPr="00AA29FB">
        <w:rPr>
          <w:rFonts w:ascii="Arial" w:hAnsi="Arial" w:cs="Arial"/>
          <w:sz w:val="24"/>
          <w:szCs w:val="24"/>
        </w:rPr>
        <w:t>meeting.</w:t>
      </w:r>
      <w:r w:rsidR="00667A68" w:rsidRPr="00AA29FB">
        <w:rPr>
          <w:rFonts w:ascii="Arial" w:hAnsi="Arial" w:cs="Arial"/>
          <w:sz w:val="24"/>
          <w:szCs w:val="24"/>
        </w:rPr>
        <w:t xml:space="preserve"> </w:t>
      </w:r>
    </w:p>
    <w:p w14:paraId="051659A9" w14:textId="77777777" w:rsidR="002455D5" w:rsidRPr="00AA29FB" w:rsidRDefault="002455D5" w:rsidP="002455D5">
      <w:pPr>
        <w:pStyle w:val="NoSpacing"/>
        <w:rPr>
          <w:rFonts w:ascii="Arial" w:hAnsi="Arial" w:cs="Arial"/>
          <w:sz w:val="24"/>
          <w:szCs w:val="24"/>
        </w:rPr>
      </w:pPr>
    </w:p>
    <w:p w14:paraId="457A6E74" w14:textId="72EB43A5" w:rsidR="002455D5" w:rsidRDefault="002455D5" w:rsidP="008A4056">
      <w:pPr>
        <w:pStyle w:val="NoSpacing"/>
        <w:numPr>
          <w:ilvl w:val="0"/>
          <w:numId w:val="10"/>
        </w:numPr>
        <w:ind w:hanging="720"/>
        <w:rPr>
          <w:rFonts w:ascii="Arial" w:hAnsi="Arial" w:cs="Arial"/>
          <w:b/>
          <w:bCs/>
          <w:sz w:val="24"/>
          <w:szCs w:val="24"/>
        </w:rPr>
      </w:pPr>
      <w:r w:rsidRPr="00AA29FB">
        <w:rPr>
          <w:rFonts w:ascii="Arial" w:hAnsi="Arial" w:cs="Arial"/>
          <w:b/>
          <w:bCs/>
          <w:sz w:val="24"/>
          <w:szCs w:val="24"/>
        </w:rPr>
        <w:t xml:space="preserve">Background </w:t>
      </w:r>
    </w:p>
    <w:p w14:paraId="04EC2B9D" w14:textId="77777777" w:rsidR="002455D5" w:rsidRPr="00AA29FB" w:rsidRDefault="002455D5" w:rsidP="002455D5">
      <w:pPr>
        <w:pStyle w:val="NoSpacing"/>
        <w:rPr>
          <w:rFonts w:ascii="Arial" w:hAnsi="Arial" w:cs="Arial"/>
          <w:sz w:val="24"/>
          <w:szCs w:val="24"/>
        </w:rPr>
      </w:pPr>
    </w:p>
    <w:p w14:paraId="482BF262" w14:textId="7B6978A4" w:rsidR="002943B2" w:rsidRPr="002943B2" w:rsidRDefault="00667A68" w:rsidP="002943B2">
      <w:pPr>
        <w:pStyle w:val="ListParagraph"/>
        <w:numPr>
          <w:ilvl w:val="1"/>
          <w:numId w:val="10"/>
        </w:numPr>
        <w:ind w:left="709" w:hanging="709"/>
        <w:rPr>
          <w:rFonts w:ascii="Arial" w:hAnsi="Arial" w:cs="Arial"/>
          <w:sz w:val="24"/>
          <w:szCs w:val="24"/>
        </w:rPr>
      </w:pPr>
      <w:r w:rsidRPr="00AA29FB">
        <w:rPr>
          <w:rFonts w:ascii="Arial" w:hAnsi="Arial" w:cs="Arial"/>
          <w:sz w:val="24"/>
          <w:szCs w:val="24"/>
        </w:rPr>
        <w:t>The Board will recall that the then titled Levelling Up Partnership</w:t>
      </w:r>
      <w:r w:rsidR="00CA34E9" w:rsidRPr="00AA29FB">
        <w:rPr>
          <w:rFonts w:ascii="Arial" w:hAnsi="Arial" w:cs="Arial"/>
          <w:sz w:val="24"/>
          <w:szCs w:val="24"/>
        </w:rPr>
        <w:t xml:space="preserve"> (LUP) was secured </w:t>
      </w:r>
      <w:r w:rsidR="00F66D31">
        <w:rPr>
          <w:rFonts w:ascii="Arial" w:hAnsi="Arial" w:cs="Arial"/>
          <w:sz w:val="24"/>
          <w:szCs w:val="24"/>
        </w:rPr>
        <w:t xml:space="preserve">in negotiation with the government </w:t>
      </w:r>
      <w:r w:rsidR="00CA34E9" w:rsidRPr="00AA29FB">
        <w:rPr>
          <w:rFonts w:ascii="Arial" w:hAnsi="Arial" w:cs="Arial"/>
          <w:sz w:val="24"/>
          <w:szCs w:val="24"/>
        </w:rPr>
        <w:t xml:space="preserve">by </w:t>
      </w:r>
      <w:r w:rsidR="004E0C56" w:rsidRPr="00AA29FB">
        <w:rPr>
          <w:rFonts w:ascii="Arial" w:hAnsi="Arial" w:cs="Arial"/>
          <w:sz w:val="24"/>
          <w:szCs w:val="24"/>
        </w:rPr>
        <w:t>Mansfield District Council in collaboration with the County Council and Nottingham Trent University</w:t>
      </w:r>
      <w:r w:rsidR="00C77F9B" w:rsidRPr="00AA29FB">
        <w:rPr>
          <w:rFonts w:ascii="Arial" w:hAnsi="Arial" w:cs="Arial"/>
          <w:sz w:val="24"/>
          <w:szCs w:val="24"/>
        </w:rPr>
        <w:t>, seeing a set of capital and revenue projects brought forward at a total of £20.4M</w:t>
      </w:r>
      <w:r w:rsidR="00AA29FB">
        <w:rPr>
          <w:rFonts w:ascii="Arial" w:hAnsi="Arial" w:cs="Arial"/>
          <w:sz w:val="24"/>
          <w:szCs w:val="24"/>
        </w:rPr>
        <w:t>.</w:t>
      </w:r>
    </w:p>
    <w:p w14:paraId="540A3ADC" w14:textId="77777777" w:rsidR="00B12C96" w:rsidRPr="00AA29FB" w:rsidRDefault="00B12C96" w:rsidP="00B12C96">
      <w:pPr>
        <w:pStyle w:val="ListParagraph"/>
        <w:ind w:left="709"/>
        <w:rPr>
          <w:rFonts w:ascii="Arial" w:hAnsi="Arial" w:cs="Arial"/>
          <w:sz w:val="24"/>
          <w:szCs w:val="24"/>
        </w:rPr>
      </w:pPr>
    </w:p>
    <w:p w14:paraId="7D065110" w14:textId="7027C982" w:rsidR="00CA34E9" w:rsidRPr="009C002F" w:rsidRDefault="00B04DA1" w:rsidP="00B12C96">
      <w:pPr>
        <w:pStyle w:val="ListParagraph"/>
        <w:numPr>
          <w:ilvl w:val="1"/>
          <w:numId w:val="10"/>
        </w:numPr>
        <w:ind w:left="709" w:hanging="709"/>
        <w:rPr>
          <w:rFonts w:ascii="Arial" w:hAnsi="Arial" w:cs="Arial"/>
          <w:sz w:val="24"/>
          <w:szCs w:val="24"/>
        </w:rPr>
      </w:pPr>
      <w:r>
        <w:rPr>
          <w:rFonts w:ascii="Arial" w:hAnsi="Arial" w:cs="Arial"/>
          <w:sz w:val="24"/>
        </w:rPr>
        <w:t>Now renamed as the Community Regeneration Partnership (CRP)</w:t>
      </w:r>
      <w:r w:rsidR="00926034">
        <w:rPr>
          <w:rFonts w:ascii="Arial" w:hAnsi="Arial" w:cs="Arial"/>
          <w:sz w:val="24"/>
        </w:rPr>
        <w:t>,</w:t>
      </w:r>
      <w:r>
        <w:rPr>
          <w:rFonts w:ascii="Arial" w:hAnsi="Arial" w:cs="Arial"/>
          <w:sz w:val="24"/>
        </w:rPr>
        <w:t xml:space="preserve"> </w:t>
      </w:r>
      <w:r w:rsidR="00FF5C2F">
        <w:rPr>
          <w:rFonts w:ascii="Arial" w:hAnsi="Arial" w:cs="Arial"/>
          <w:sz w:val="24"/>
        </w:rPr>
        <w:t>t</w:t>
      </w:r>
      <w:r w:rsidR="00CA34E9" w:rsidRPr="00AA29FB">
        <w:rPr>
          <w:rFonts w:ascii="Arial" w:hAnsi="Arial" w:cs="Arial"/>
          <w:sz w:val="24"/>
        </w:rPr>
        <w:t xml:space="preserve">he </w:t>
      </w:r>
      <w:r w:rsidR="00F73806">
        <w:rPr>
          <w:rFonts w:ascii="Arial" w:hAnsi="Arial" w:cs="Arial"/>
          <w:sz w:val="24"/>
        </w:rPr>
        <w:t xml:space="preserve">revenue </w:t>
      </w:r>
      <w:r w:rsidR="00EF1E6B">
        <w:rPr>
          <w:rFonts w:ascii="Arial" w:hAnsi="Arial" w:cs="Arial"/>
          <w:sz w:val="24"/>
        </w:rPr>
        <w:t>funding offer</w:t>
      </w:r>
      <w:r w:rsidR="000952B4">
        <w:rPr>
          <w:rFonts w:ascii="Arial" w:hAnsi="Arial" w:cs="Arial"/>
          <w:sz w:val="24"/>
        </w:rPr>
        <w:t>s</w:t>
      </w:r>
      <w:r w:rsidR="00EF1E6B">
        <w:rPr>
          <w:rFonts w:ascii="Arial" w:hAnsi="Arial" w:cs="Arial"/>
          <w:sz w:val="24"/>
        </w:rPr>
        <w:t xml:space="preserve"> the opportunity </w:t>
      </w:r>
      <w:r w:rsidR="00FF5C2F">
        <w:rPr>
          <w:rFonts w:ascii="Arial" w:hAnsi="Arial" w:cs="Arial"/>
          <w:sz w:val="24"/>
        </w:rPr>
        <w:t xml:space="preserve">to bring forward developmental aspects </w:t>
      </w:r>
      <w:r w:rsidR="00360BD9">
        <w:rPr>
          <w:rFonts w:ascii="Arial" w:hAnsi="Arial" w:cs="Arial"/>
          <w:sz w:val="24"/>
        </w:rPr>
        <w:t>that cou</w:t>
      </w:r>
      <w:r w:rsidR="00FE7E3B">
        <w:rPr>
          <w:rFonts w:ascii="Arial" w:hAnsi="Arial" w:cs="Arial"/>
          <w:sz w:val="24"/>
        </w:rPr>
        <w:t xml:space="preserve">ld </w:t>
      </w:r>
      <w:r w:rsidR="00720443">
        <w:rPr>
          <w:rFonts w:ascii="Arial" w:hAnsi="Arial" w:cs="Arial"/>
          <w:sz w:val="24"/>
        </w:rPr>
        <w:t xml:space="preserve">support </w:t>
      </w:r>
      <w:r w:rsidR="00A35B7C">
        <w:rPr>
          <w:rFonts w:ascii="Arial" w:hAnsi="Arial" w:cs="Arial"/>
          <w:sz w:val="24"/>
        </w:rPr>
        <w:t xml:space="preserve">the </w:t>
      </w:r>
      <w:r w:rsidR="00DD7106">
        <w:rPr>
          <w:rFonts w:ascii="Arial" w:hAnsi="Arial" w:cs="Arial"/>
          <w:sz w:val="24"/>
        </w:rPr>
        <w:t xml:space="preserve">bringing forward </w:t>
      </w:r>
      <w:r w:rsidR="00A35B7C">
        <w:rPr>
          <w:rFonts w:ascii="Arial" w:hAnsi="Arial" w:cs="Arial"/>
          <w:sz w:val="24"/>
        </w:rPr>
        <w:t xml:space="preserve">of </w:t>
      </w:r>
      <w:r w:rsidR="00720443">
        <w:rPr>
          <w:rFonts w:ascii="Arial" w:hAnsi="Arial" w:cs="Arial"/>
          <w:sz w:val="24"/>
        </w:rPr>
        <w:t xml:space="preserve">future </w:t>
      </w:r>
      <w:r w:rsidR="00A10A1B">
        <w:rPr>
          <w:rFonts w:ascii="Arial" w:hAnsi="Arial" w:cs="Arial"/>
          <w:sz w:val="24"/>
        </w:rPr>
        <w:t>projects</w:t>
      </w:r>
      <w:r w:rsidR="00A35B7C">
        <w:rPr>
          <w:rFonts w:ascii="Arial" w:hAnsi="Arial" w:cs="Arial"/>
          <w:sz w:val="24"/>
        </w:rPr>
        <w:t xml:space="preserve"> from other </w:t>
      </w:r>
      <w:r w:rsidR="00660DCF">
        <w:rPr>
          <w:rFonts w:ascii="Arial" w:hAnsi="Arial" w:cs="Arial"/>
          <w:sz w:val="24"/>
        </w:rPr>
        <w:t>funding sources or support the next steps with existing projects</w:t>
      </w:r>
      <w:r w:rsidR="0098261A">
        <w:rPr>
          <w:rFonts w:ascii="Arial" w:hAnsi="Arial" w:cs="Arial"/>
          <w:sz w:val="24"/>
        </w:rPr>
        <w:t xml:space="preserve">, linked to the </w:t>
      </w:r>
      <w:r w:rsidR="009A5A36">
        <w:rPr>
          <w:rFonts w:ascii="Arial" w:hAnsi="Arial" w:cs="Arial"/>
          <w:sz w:val="24"/>
        </w:rPr>
        <w:t xml:space="preserve">Mansfield </w:t>
      </w:r>
      <w:r w:rsidR="0098261A">
        <w:rPr>
          <w:rFonts w:ascii="Arial" w:hAnsi="Arial" w:cs="Arial"/>
          <w:sz w:val="24"/>
        </w:rPr>
        <w:t>Place Strategy’s ambitions.</w:t>
      </w:r>
      <w:r w:rsidR="009E5B53">
        <w:rPr>
          <w:rFonts w:ascii="Arial" w:hAnsi="Arial" w:cs="Arial"/>
          <w:sz w:val="24"/>
        </w:rPr>
        <w:t xml:space="preserve"> </w:t>
      </w:r>
    </w:p>
    <w:p w14:paraId="5EABBE86" w14:textId="77777777" w:rsidR="009C002F" w:rsidRPr="009C002F" w:rsidRDefault="009C002F" w:rsidP="009C002F">
      <w:pPr>
        <w:pStyle w:val="ListParagraph"/>
        <w:rPr>
          <w:rFonts w:ascii="Arial" w:hAnsi="Arial" w:cs="Arial"/>
          <w:sz w:val="24"/>
          <w:szCs w:val="24"/>
        </w:rPr>
      </w:pPr>
    </w:p>
    <w:p w14:paraId="0909F940" w14:textId="30D6E1A6" w:rsidR="009C002F" w:rsidRDefault="009C002F" w:rsidP="00B12C96">
      <w:pPr>
        <w:pStyle w:val="ListParagraph"/>
        <w:numPr>
          <w:ilvl w:val="1"/>
          <w:numId w:val="10"/>
        </w:numPr>
        <w:ind w:left="709" w:hanging="709"/>
        <w:rPr>
          <w:rFonts w:ascii="Arial" w:hAnsi="Arial" w:cs="Arial"/>
          <w:sz w:val="24"/>
          <w:szCs w:val="24"/>
        </w:rPr>
      </w:pPr>
      <w:r>
        <w:rPr>
          <w:rFonts w:ascii="Arial" w:hAnsi="Arial" w:cs="Arial"/>
          <w:sz w:val="24"/>
          <w:szCs w:val="24"/>
        </w:rPr>
        <w:t>T</w:t>
      </w:r>
      <w:r w:rsidR="006C0803">
        <w:rPr>
          <w:rFonts w:ascii="Arial" w:hAnsi="Arial" w:cs="Arial"/>
          <w:sz w:val="24"/>
          <w:szCs w:val="24"/>
        </w:rPr>
        <w:t>wo</w:t>
      </w:r>
      <w:r>
        <w:rPr>
          <w:rFonts w:ascii="Arial" w:hAnsi="Arial" w:cs="Arial"/>
          <w:sz w:val="24"/>
          <w:szCs w:val="24"/>
        </w:rPr>
        <w:t xml:space="preserve"> specific revenue elements were agreed with MHCLG</w:t>
      </w:r>
      <w:r w:rsidR="00926034">
        <w:rPr>
          <w:rFonts w:ascii="Arial" w:hAnsi="Arial" w:cs="Arial"/>
          <w:sz w:val="24"/>
          <w:szCs w:val="24"/>
        </w:rPr>
        <w:t xml:space="preserve"> under the CRP</w:t>
      </w:r>
      <w:r>
        <w:rPr>
          <w:rFonts w:ascii="Arial" w:hAnsi="Arial" w:cs="Arial"/>
          <w:sz w:val="24"/>
          <w:szCs w:val="24"/>
        </w:rPr>
        <w:t>, being:</w:t>
      </w:r>
    </w:p>
    <w:p w14:paraId="631215D0" w14:textId="77777777" w:rsidR="009C002F" w:rsidRPr="009C002F" w:rsidRDefault="009C002F" w:rsidP="009C002F">
      <w:pPr>
        <w:pStyle w:val="ListParagraph"/>
        <w:rPr>
          <w:rFonts w:ascii="Arial" w:hAnsi="Arial" w:cs="Arial"/>
          <w:sz w:val="24"/>
          <w:szCs w:val="24"/>
        </w:rPr>
      </w:pPr>
    </w:p>
    <w:p w14:paraId="749DC16B" w14:textId="341162BB" w:rsidR="009C002F" w:rsidRDefault="009C002F" w:rsidP="009C002F">
      <w:pPr>
        <w:pStyle w:val="ListParagraph"/>
        <w:numPr>
          <w:ilvl w:val="0"/>
          <w:numId w:val="13"/>
        </w:numPr>
        <w:rPr>
          <w:rFonts w:ascii="Arial" w:hAnsi="Arial" w:cs="Arial"/>
          <w:sz w:val="24"/>
          <w:szCs w:val="24"/>
        </w:rPr>
      </w:pPr>
      <w:r>
        <w:rPr>
          <w:rFonts w:ascii="Arial" w:hAnsi="Arial" w:cs="Arial"/>
          <w:sz w:val="24"/>
          <w:szCs w:val="24"/>
        </w:rPr>
        <w:t xml:space="preserve">Funding for </w:t>
      </w:r>
      <w:r w:rsidR="00706C21">
        <w:rPr>
          <w:rFonts w:ascii="Arial" w:hAnsi="Arial" w:cs="Arial"/>
          <w:sz w:val="24"/>
          <w:szCs w:val="24"/>
        </w:rPr>
        <w:t>culture-led regeneration planning - £50,000</w:t>
      </w:r>
    </w:p>
    <w:p w14:paraId="5D968430" w14:textId="60B30F5D" w:rsidR="00706C21" w:rsidRPr="00D72DF6" w:rsidRDefault="002A0196" w:rsidP="009C002F">
      <w:pPr>
        <w:pStyle w:val="ListParagraph"/>
        <w:numPr>
          <w:ilvl w:val="0"/>
          <w:numId w:val="13"/>
        </w:numPr>
        <w:rPr>
          <w:rFonts w:ascii="Arial" w:hAnsi="Arial" w:cs="Arial"/>
          <w:sz w:val="24"/>
          <w:szCs w:val="24"/>
        </w:rPr>
      </w:pPr>
      <w:r>
        <w:rPr>
          <w:rFonts w:ascii="Arial" w:hAnsi="Arial" w:cs="Arial"/>
          <w:sz w:val="24"/>
          <w:szCs w:val="24"/>
        </w:rPr>
        <w:t>Visioning commissions</w:t>
      </w:r>
      <w:r w:rsidR="00D72DF6">
        <w:rPr>
          <w:rFonts w:ascii="Arial" w:hAnsi="Arial" w:cs="Arial"/>
          <w:sz w:val="24"/>
          <w:szCs w:val="24"/>
        </w:rPr>
        <w:t xml:space="preserve">, </w:t>
      </w:r>
      <w:r w:rsidR="00D72DF6" w:rsidRPr="00D72DF6">
        <w:rPr>
          <w:rFonts w:ascii="Arial" w:hAnsi="Arial" w:cs="Arial"/>
          <w:sz w:val="24"/>
          <w:szCs w:val="24"/>
        </w:rPr>
        <w:t>enabling Mansfield</w:t>
      </w:r>
      <w:r w:rsidR="00AB0EC3">
        <w:rPr>
          <w:rFonts w:ascii="Arial" w:hAnsi="Arial" w:cs="Arial"/>
          <w:sz w:val="24"/>
          <w:szCs w:val="24"/>
        </w:rPr>
        <w:t xml:space="preserve"> to </w:t>
      </w:r>
      <w:r w:rsidR="00AB0EC3" w:rsidRPr="00D72DF6">
        <w:rPr>
          <w:rFonts w:ascii="Arial" w:hAnsi="Arial" w:cs="Arial"/>
          <w:sz w:val="24"/>
          <w:szCs w:val="24"/>
        </w:rPr>
        <w:t>identify</w:t>
      </w:r>
      <w:r w:rsidR="00D72DF6" w:rsidRPr="00D72DF6">
        <w:rPr>
          <w:rFonts w:ascii="Arial" w:hAnsi="Arial" w:cs="Arial"/>
          <w:sz w:val="24"/>
          <w:szCs w:val="24"/>
        </w:rPr>
        <w:t xml:space="preserve"> </w:t>
      </w:r>
      <w:r w:rsidR="00D72DF6">
        <w:rPr>
          <w:rFonts w:ascii="Arial" w:hAnsi="Arial" w:cs="Arial"/>
          <w:sz w:val="24"/>
          <w:szCs w:val="24"/>
        </w:rPr>
        <w:t xml:space="preserve">key </w:t>
      </w:r>
      <w:r w:rsidR="00D72DF6" w:rsidRPr="00D72DF6">
        <w:rPr>
          <w:rFonts w:ascii="Arial" w:hAnsi="Arial" w:cs="Arial"/>
          <w:sz w:val="24"/>
          <w:szCs w:val="24"/>
        </w:rPr>
        <w:t>economic opportunities</w:t>
      </w:r>
      <w:r w:rsidR="00D72DF6">
        <w:rPr>
          <w:rFonts w:ascii="Arial" w:hAnsi="Arial" w:cs="Arial"/>
          <w:sz w:val="24"/>
          <w:szCs w:val="24"/>
        </w:rPr>
        <w:t xml:space="preserve"> </w:t>
      </w:r>
      <w:r w:rsidR="00D72DF6" w:rsidRPr="00D72DF6">
        <w:rPr>
          <w:rFonts w:ascii="Arial" w:hAnsi="Arial" w:cs="Arial"/>
          <w:sz w:val="24"/>
          <w:szCs w:val="24"/>
        </w:rPr>
        <w:t>and to develop strategies for development</w:t>
      </w:r>
      <w:r w:rsidR="00AB0EC3">
        <w:rPr>
          <w:rFonts w:ascii="Arial" w:hAnsi="Arial" w:cs="Arial"/>
          <w:sz w:val="24"/>
          <w:szCs w:val="24"/>
        </w:rPr>
        <w:t xml:space="preserve"> - £200,000</w:t>
      </w:r>
    </w:p>
    <w:p w14:paraId="0E670F75" w14:textId="77777777" w:rsidR="009C002F" w:rsidRPr="00D72DF6" w:rsidRDefault="009C002F" w:rsidP="009C002F">
      <w:pPr>
        <w:pStyle w:val="ListParagraph"/>
        <w:rPr>
          <w:rFonts w:ascii="Arial" w:hAnsi="Arial" w:cs="Arial"/>
          <w:sz w:val="24"/>
          <w:szCs w:val="24"/>
        </w:rPr>
      </w:pPr>
    </w:p>
    <w:p w14:paraId="7166690F" w14:textId="42D783A2" w:rsidR="002943B2" w:rsidRDefault="00E50017" w:rsidP="002943B2">
      <w:pPr>
        <w:pStyle w:val="ListParagraph"/>
        <w:numPr>
          <w:ilvl w:val="1"/>
          <w:numId w:val="10"/>
        </w:numPr>
        <w:ind w:left="709" w:hanging="709"/>
        <w:rPr>
          <w:rFonts w:ascii="Arial" w:hAnsi="Arial" w:cs="Arial"/>
          <w:sz w:val="24"/>
          <w:szCs w:val="24"/>
        </w:rPr>
      </w:pPr>
      <w:r>
        <w:rPr>
          <w:rFonts w:ascii="Arial" w:hAnsi="Arial" w:cs="Arial"/>
          <w:sz w:val="24"/>
          <w:szCs w:val="24"/>
        </w:rPr>
        <w:t xml:space="preserve">Progress with the CRP </w:t>
      </w:r>
      <w:r w:rsidR="00D30339">
        <w:rPr>
          <w:rFonts w:ascii="Arial" w:hAnsi="Arial" w:cs="Arial"/>
          <w:sz w:val="24"/>
          <w:szCs w:val="24"/>
        </w:rPr>
        <w:t xml:space="preserve">is facilitated through quarterly meetings with MHCLG officials </w:t>
      </w:r>
      <w:r w:rsidR="008B3232">
        <w:rPr>
          <w:rFonts w:ascii="Arial" w:hAnsi="Arial" w:cs="Arial"/>
          <w:sz w:val="24"/>
          <w:szCs w:val="24"/>
        </w:rPr>
        <w:t xml:space="preserve">being committed via the CRP process, </w:t>
      </w:r>
      <w:r w:rsidR="00D30339">
        <w:rPr>
          <w:rFonts w:ascii="Arial" w:hAnsi="Arial" w:cs="Arial"/>
          <w:sz w:val="24"/>
          <w:szCs w:val="24"/>
        </w:rPr>
        <w:t xml:space="preserve">and the summary </w:t>
      </w:r>
      <w:r w:rsidR="006D6605">
        <w:rPr>
          <w:rFonts w:ascii="Arial" w:hAnsi="Arial" w:cs="Arial"/>
          <w:sz w:val="24"/>
          <w:szCs w:val="24"/>
        </w:rPr>
        <w:t xml:space="preserve">position on each and the breakdown of the funding for the </w:t>
      </w:r>
      <w:r w:rsidR="00406A47">
        <w:rPr>
          <w:rFonts w:ascii="Arial" w:hAnsi="Arial" w:cs="Arial"/>
          <w:sz w:val="24"/>
          <w:szCs w:val="24"/>
        </w:rPr>
        <w:t xml:space="preserve">visioning aspects </w:t>
      </w:r>
      <w:r w:rsidR="006D6605">
        <w:rPr>
          <w:rFonts w:ascii="Arial" w:hAnsi="Arial" w:cs="Arial"/>
          <w:sz w:val="24"/>
          <w:szCs w:val="24"/>
        </w:rPr>
        <w:t xml:space="preserve">is referenced in the attached </w:t>
      </w:r>
      <w:r w:rsidR="002D7ADF">
        <w:rPr>
          <w:rFonts w:ascii="Arial" w:hAnsi="Arial" w:cs="Arial"/>
          <w:sz w:val="24"/>
          <w:szCs w:val="24"/>
        </w:rPr>
        <w:t>A</w:t>
      </w:r>
      <w:r w:rsidR="006D6605">
        <w:rPr>
          <w:rFonts w:ascii="Arial" w:hAnsi="Arial" w:cs="Arial"/>
          <w:sz w:val="24"/>
          <w:szCs w:val="24"/>
        </w:rPr>
        <w:t>ppendix 1.</w:t>
      </w:r>
    </w:p>
    <w:p w14:paraId="4F116A4F" w14:textId="7647A1F3" w:rsidR="002943B2" w:rsidRDefault="002943B2" w:rsidP="002943B2">
      <w:pPr>
        <w:pStyle w:val="ListParagraph"/>
        <w:ind w:left="709"/>
        <w:rPr>
          <w:rFonts w:ascii="Arial" w:hAnsi="Arial" w:cs="Arial"/>
          <w:sz w:val="24"/>
          <w:szCs w:val="24"/>
        </w:rPr>
      </w:pPr>
    </w:p>
    <w:p w14:paraId="0F4A829A" w14:textId="6D37AA5B" w:rsidR="002943B2" w:rsidRDefault="002943B2" w:rsidP="002943B2">
      <w:pPr>
        <w:pStyle w:val="ListParagraph"/>
        <w:numPr>
          <w:ilvl w:val="1"/>
          <w:numId w:val="10"/>
        </w:numPr>
        <w:ind w:left="709" w:hanging="709"/>
        <w:rPr>
          <w:rFonts w:ascii="Arial" w:hAnsi="Arial" w:cs="Arial"/>
          <w:sz w:val="24"/>
          <w:szCs w:val="24"/>
        </w:rPr>
      </w:pPr>
      <w:r>
        <w:rPr>
          <w:rFonts w:ascii="Arial" w:hAnsi="Arial" w:cs="Arial"/>
          <w:sz w:val="24"/>
          <w:szCs w:val="24"/>
        </w:rPr>
        <w:t xml:space="preserve">Appendix 2 </w:t>
      </w:r>
      <w:r w:rsidR="002A6113">
        <w:rPr>
          <w:rFonts w:ascii="Arial" w:hAnsi="Arial" w:cs="Arial"/>
          <w:sz w:val="24"/>
          <w:szCs w:val="24"/>
        </w:rPr>
        <w:t>summarises</w:t>
      </w:r>
      <w:r>
        <w:rPr>
          <w:rFonts w:ascii="Arial" w:hAnsi="Arial" w:cs="Arial"/>
          <w:sz w:val="24"/>
          <w:szCs w:val="24"/>
        </w:rPr>
        <w:t xml:space="preserve"> </w:t>
      </w:r>
      <w:r w:rsidR="002A6113">
        <w:rPr>
          <w:rFonts w:ascii="Arial" w:hAnsi="Arial" w:cs="Arial"/>
          <w:sz w:val="24"/>
          <w:szCs w:val="24"/>
        </w:rPr>
        <w:t>the position regarding the remaining capital projects.</w:t>
      </w:r>
      <w:r w:rsidR="00926034">
        <w:rPr>
          <w:rFonts w:ascii="Arial" w:hAnsi="Arial" w:cs="Arial"/>
          <w:sz w:val="24"/>
          <w:szCs w:val="24"/>
        </w:rPr>
        <w:t xml:space="preserve"> The Towns Fund and the Levelling Up Funding are subject to separate reporting arrangements and the attached relates to the most recent cycle of reporting for each, plus a forecast to the 2024/25 year end. </w:t>
      </w:r>
    </w:p>
    <w:p w14:paraId="5ADC9D46" w14:textId="77777777" w:rsidR="00926034" w:rsidRPr="00926034" w:rsidRDefault="00926034" w:rsidP="00926034">
      <w:pPr>
        <w:pStyle w:val="ListParagraph"/>
        <w:rPr>
          <w:rFonts w:ascii="Arial" w:hAnsi="Arial" w:cs="Arial"/>
          <w:sz w:val="24"/>
          <w:szCs w:val="24"/>
        </w:rPr>
      </w:pPr>
    </w:p>
    <w:p w14:paraId="73897D39" w14:textId="77777777" w:rsidR="003F2249" w:rsidRDefault="003F2249" w:rsidP="003F2249">
      <w:pPr>
        <w:pStyle w:val="NoSpacing"/>
        <w:numPr>
          <w:ilvl w:val="0"/>
          <w:numId w:val="10"/>
        </w:numPr>
        <w:ind w:hanging="720"/>
        <w:rPr>
          <w:rFonts w:ascii="Arial" w:hAnsi="Arial" w:cs="Arial"/>
          <w:b/>
          <w:bCs/>
          <w:sz w:val="24"/>
          <w:szCs w:val="24"/>
        </w:rPr>
      </w:pPr>
      <w:r>
        <w:rPr>
          <w:rFonts w:ascii="Arial" w:hAnsi="Arial" w:cs="Arial"/>
          <w:b/>
          <w:bCs/>
          <w:sz w:val="24"/>
          <w:szCs w:val="24"/>
        </w:rPr>
        <w:lastRenderedPageBreak/>
        <w:t xml:space="preserve">Recommendation </w:t>
      </w:r>
    </w:p>
    <w:p w14:paraId="10E112BD" w14:textId="77777777" w:rsidR="003F2249" w:rsidRDefault="003F2249" w:rsidP="003F2249">
      <w:pPr>
        <w:pStyle w:val="NoSpacing"/>
        <w:ind w:left="720" w:hanging="720"/>
        <w:rPr>
          <w:rFonts w:ascii="Arial" w:hAnsi="Arial" w:cs="Arial"/>
          <w:b/>
          <w:bCs/>
          <w:sz w:val="24"/>
          <w:szCs w:val="24"/>
        </w:rPr>
      </w:pPr>
    </w:p>
    <w:p w14:paraId="0CB76CFB" w14:textId="11304E1E" w:rsidR="00837DB3" w:rsidRDefault="00036514" w:rsidP="005C314E">
      <w:pPr>
        <w:pStyle w:val="NoSpacing"/>
        <w:numPr>
          <w:ilvl w:val="1"/>
          <w:numId w:val="10"/>
        </w:numPr>
        <w:ind w:hanging="786"/>
        <w:rPr>
          <w:rFonts w:ascii="Arial" w:hAnsi="Arial" w:cs="Arial"/>
          <w:sz w:val="24"/>
          <w:szCs w:val="24"/>
        </w:rPr>
      </w:pPr>
      <w:r w:rsidRPr="003F2249">
        <w:rPr>
          <w:rFonts w:ascii="Arial" w:hAnsi="Arial" w:cs="Arial"/>
          <w:sz w:val="24"/>
          <w:szCs w:val="24"/>
        </w:rPr>
        <w:t xml:space="preserve">It is recommended that the Board </w:t>
      </w:r>
      <w:r w:rsidR="00B90431" w:rsidRPr="003F2249">
        <w:rPr>
          <w:rFonts w:ascii="Arial" w:hAnsi="Arial" w:cs="Arial"/>
          <w:sz w:val="24"/>
          <w:szCs w:val="24"/>
        </w:rPr>
        <w:t xml:space="preserve">notes the latest position on the </w:t>
      </w:r>
      <w:r w:rsidR="003F2249">
        <w:rPr>
          <w:rFonts w:ascii="Arial" w:hAnsi="Arial" w:cs="Arial"/>
          <w:sz w:val="24"/>
          <w:szCs w:val="24"/>
        </w:rPr>
        <w:t xml:space="preserve">projects </w:t>
      </w:r>
      <w:r w:rsidR="00015E2C">
        <w:rPr>
          <w:rFonts w:ascii="Arial" w:hAnsi="Arial" w:cs="Arial"/>
          <w:sz w:val="24"/>
          <w:szCs w:val="24"/>
        </w:rPr>
        <w:t>supported</w:t>
      </w:r>
      <w:r w:rsidR="003F2249">
        <w:rPr>
          <w:rFonts w:ascii="Arial" w:hAnsi="Arial" w:cs="Arial"/>
          <w:sz w:val="24"/>
          <w:szCs w:val="24"/>
        </w:rPr>
        <w:t xml:space="preserve"> by </w:t>
      </w:r>
      <w:r w:rsidR="00015E2C">
        <w:rPr>
          <w:rFonts w:ascii="Arial" w:hAnsi="Arial" w:cs="Arial"/>
          <w:sz w:val="24"/>
          <w:szCs w:val="24"/>
        </w:rPr>
        <w:t xml:space="preserve">the </w:t>
      </w:r>
      <w:r w:rsidR="002A6113">
        <w:rPr>
          <w:rFonts w:ascii="Arial" w:hAnsi="Arial" w:cs="Arial"/>
          <w:sz w:val="24"/>
          <w:szCs w:val="24"/>
        </w:rPr>
        <w:t xml:space="preserve">external </w:t>
      </w:r>
      <w:r w:rsidR="00B90431" w:rsidRPr="003F2249">
        <w:rPr>
          <w:rFonts w:ascii="Arial" w:hAnsi="Arial" w:cs="Arial"/>
          <w:sz w:val="24"/>
          <w:szCs w:val="24"/>
        </w:rPr>
        <w:t xml:space="preserve">funding </w:t>
      </w:r>
      <w:r w:rsidR="00124CDE">
        <w:rPr>
          <w:rFonts w:ascii="Arial" w:hAnsi="Arial" w:cs="Arial"/>
          <w:sz w:val="24"/>
          <w:szCs w:val="24"/>
        </w:rPr>
        <w:t xml:space="preserve">and that </w:t>
      </w:r>
      <w:r w:rsidR="0034783E" w:rsidRPr="003F2249">
        <w:rPr>
          <w:rFonts w:ascii="Arial" w:hAnsi="Arial" w:cs="Arial"/>
          <w:sz w:val="24"/>
          <w:szCs w:val="24"/>
        </w:rPr>
        <w:t xml:space="preserve">further progress reports are brought to </w:t>
      </w:r>
      <w:r w:rsidR="000C5F1E">
        <w:rPr>
          <w:rFonts w:ascii="Arial" w:hAnsi="Arial" w:cs="Arial"/>
          <w:sz w:val="24"/>
          <w:szCs w:val="24"/>
        </w:rPr>
        <w:t>future</w:t>
      </w:r>
      <w:r w:rsidR="005C314E" w:rsidRPr="003F2249">
        <w:rPr>
          <w:rFonts w:ascii="Arial" w:hAnsi="Arial" w:cs="Arial"/>
          <w:sz w:val="24"/>
          <w:szCs w:val="24"/>
        </w:rPr>
        <w:t xml:space="preserve"> meetings on a quarterly basis</w:t>
      </w:r>
      <w:r w:rsidR="002A6113">
        <w:rPr>
          <w:rFonts w:ascii="Arial" w:hAnsi="Arial" w:cs="Arial"/>
          <w:sz w:val="24"/>
          <w:szCs w:val="24"/>
        </w:rPr>
        <w:t xml:space="preserve">, with the updates provided around the submission of information to MHCLG in line with </w:t>
      </w:r>
      <w:r w:rsidR="00926034">
        <w:rPr>
          <w:rFonts w:ascii="Arial" w:hAnsi="Arial" w:cs="Arial"/>
          <w:sz w:val="24"/>
          <w:szCs w:val="24"/>
        </w:rPr>
        <w:t>the</w:t>
      </w:r>
      <w:r w:rsidR="002A6113">
        <w:rPr>
          <w:rFonts w:ascii="Arial" w:hAnsi="Arial" w:cs="Arial"/>
          <w:sz w:val="24"/>
          <w:szCs w:val="24"/>
        </w:rPr>
        <w:t xml:space="preserve"> established reporting cycles for each funding source.  </w:t>
      </w:r>
    </w:p>
    <w:p w14:paraId="139D0269" w14:textId="77777777" w:rsidR="00193E9F" w:rsidRDefault="00193E9F" w:rsidP="00193E9F">
      <w:pPr>
        <w:pStyle w:val="NoSpacing"/>
        <w:rPr>
          <w:rFonts w:ascii="Arial" w:hAnsi="Arial" w:cs="Arial"/>
          <w:sz w:val="24"/>
          <w:szCs w:val="24"/>
        </w:rPr>
        <w:sectPr w:rsidR="00193E9F" w:rsidSect="008B3232">
          <w:footerReference w:type="default" r:id="rId9"/>
          <w:pgSz w:w="11906" w:h="16838"/>
          <w:pgMar w:top="993" w:right="1274" w:bottom="1440" w:left="1134" w:header="708" w:footer="708" w:gutter="0"/>
          <w:cols w:space="708"/>
          <w:docGrid w:linePitch="360"/>
        </w:sectPr>
      </w:pPr>
    </w:p>
    <w:p w14:paraId="7472DAAD" w14:textId="0D3010BB" w:rsidR="0034783E" w:rsidRPr="0039096F" w:rsidRDefault="00837DB3" w:rsidP="00837DB3">
      <w:pPr>
        <w:pStyle w:val="NoSpacing"/>
        <w:rPr>
          <w:rFonts w:ascii="Arial" w:hAnsi="Arial" w:cs="Arial"/>
          <w:b/>
          <w:bCs/>
          <w:sz w:val="24"/>
          <w:szCs w:val="24"/>
        </w:rPr>
      </w:pPr>
      <w:r w:rsidRPr="0039096F">
        <w:rPr>
          <w:rFonts w:ascii="Arial" w:hAnsi="Arial" w:cs="Arial"/>
          <w:b/>
          <w:bCs/>
          <w:sz w:val="24"/>
          <w:szCs w:val="24"/>
        </w:rPr>
        <w:lastRenderedPageBreak/>
        <w:t>Appendix 1</w:t>
      </w:r>
    </w:p>
    <w:p w14:paraId="4D9F13A6" w14:textId="24D2117B" w:rsidR="00837DB3" w:rsidRPr="0039096F" w:rsidRDefault="002A6113" w:rsidP="00837DB3">
      <w:pPr>
        <w:pStyle w:val="NoSpacing"/>
        <w:rPr>
          <w:rFonts w:ascii="Arial" w:hAnsi="Arial" w:cs="Arial"/>
          <w:b/>
          <w:bCs/>
          <w:sz w:val="24"/>
          <w:szCs w:val="24"/>
        </w:rPr>
      </w:pPr>
      <w:r>
        <w:rPr>
          <w:rFonts w:ascii="Arial" w:hAnsi="Arial" w:cs="Arial"/>
          <w:b/>
          <w:bCs/>
          <w:sz w:val="24"/>
          <w:szCs w:val="24"/>
        </w:rPr>
        <w:t xml:space="preserve">CRP </w:t>
      </w:r>
      <w:r w:rsidR="00837DB3" w:rsidRPr="0039096F">
        <w:rPr>
          <w:rFonts w:ascii="Arial" w:hAnsi="Arial" w:cs="Arial"/>
          <w:b/>
          <w:bCs/>
          <w:sz w:val="24"/>
          <w:szCs w:val="24"/>
        </w:rPr>
        <w:t>Summary Revenue Position</w:t>
      </w:r>
    </w:p>
    <w:p w14:paraId="5E1A8A65" w14:textId="77777777" w:rsidR="00837DB3" w:rsidRDefault="00837DB3" w:rsidP="00837DB3">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794"/>
        <w:gridCol w:w="7088"/>
        <w:gridCol w:w="1134"/>
        <w:gridCol w:w="3827"/>
      </w:tblGrid>
      <w:tr w:rsidR="000F206A" w:rsidRPr="00D63B3D" w14:paraId="2AC70D86" w14:textId="77777777" w:rsidTr="00B70EA4">
        <w:tc>
          <w:tcPr>
            <w:tcW w:w="1696" w:type="dxa"/>
            <w:shd w:val="clear" w:color="auto" w:fill="D9D9D9" w:themeFill="background1" w:themeFillShade="D9"/>
          </w:tcPr>
          <w:p w14:paraId="21E1DD4A" w14:textId="77777777" w:rsidR="000F206A" w:rsidRPr="00D63B3D" w:rsidRDefault="000F206A" w:rsidP="00837DB3">
            <w:pPr>
              <w:pStyle w:val="NoSpacing"/>
              <w:rPr>
                <w:rFonts w:ascii="Arial" w:hAnsi="Arial" w:cs="Arial"/>
                <w:b/>
                <w:bCs/>
              </w:rPr>
            </w:pPr>
            <w:r w:rsidRPr="00D63B3D">
              <w:rPr>
                <w:rFonts w:ascii="Arial" w:hAnsi="Arial" w:cs="Arial"/>
                <w:b/>
                <w:bCs/>
              </w:rPr>
              <w:t>Project</w:t>
            </w:r>
          </w:p>
          <w:p w14:paraId="45E5A675" w14:textId="1BC4E755" w:rsidR="000F206A" w:rsidRPr="00D63B3D" w:rsidRDefault="000F206A" w:rsidP="00837DB3">
            <w:pPr>
              <w:pStyle w:val="NoSpacing"/>
              <w:rPr>
                <w:rFonts w:ascii="Arial" w:hAnsi="Arial" w:cs="Arial"/>
                <w:b/>
                <w:bCs/>
              </w:rPr>
            </w:pPr>
          </w:p>
        </w:tc>
        <w:tc>
          <w:tcPr>
            <w:tcW w:w="7088" w:type="dxa"/>
            <w:shd w:val="clear" w:color="auto" w:fill="D9D9D9" w:themeFill="background1" w:themeFillShade="D9"/>
          </w:tcPr>
          <w:p w14:paraId="162FB6B7" w14:textId="2CFAEDC2" w:rsidR="000F206A" w:rsidRPr="00D63B3D" w:rsidRDefault="000F206A" w:rsidP="00837DB3">
            <w:pPr>
              <w:pStyle w:val="NoSpacing"/>
              <w:rPr>
                <w:rFonts w:ascii="Arial" w:hAnsi="Arial" w:cs="Arial"/>
                <w:b/>
                <w:bCs/>
              </w:rPr>
            </w:pPr>
            <w:r w:rsidRPr="00D63B3D">
              <w:rPr>
                <w:rFonts w:ascii="Arial" w:hAnsi="Arial" w:cs="Arial"/>
                <w:b/>
                <w:bCs/>
              </w:rPr>
              <w:t>Description</w:t>
            </w:r>
          </w:p>
        </w:tc>
        <w:tc>
          <w:tcPr>
            <w:tcW w:w="1134" w:type="dxa"/>
            <w:shd w:val="clear" w:color="auto" w:fill="D9D9D9" w:themeFill="background1" w:themeFillShade="D9"/>
          </w:tcPr>
          <w:p w14:paraId="3F8146A6" w14:textId="35C058FB" w:rsidR="000F206A" w:rsidRPr="00D63B3D" w:rsidRDefault="000F206A" w:rsidP="00837DB3">
            <w:pPr>
              <w:pStyle w:val="NoSpacing"/>
              <w:rPr>
                <w:rFonts w:ascii="Arial" w:hAnsi="Arial" w:cs="Arial"/>
                <w:b/>
                <w:bCs/>
              </w:rPr>
            </w:pPr>
            <w:r w:rsidRPr="00D63B3D">
              <w:rPr>
                <w:rFonts w:ascii="Arial" w:hAnsi="Arial" w:cs="Arial"/>
                <w:b/>
                <w:bCs/>
              </w:rPr>
              <w:t>Budget</w:t>
            </w:r>
          </w:p>
        </w:tc>
        <w:tc>
          <w:tcPr>
            <w:tcW w:w="3827" w:type="dxa"/>
            <w:shd w:val="clear" w:color="auto" w:fill="D9D9D9" w:themeFill="background1" w:themeFillShade="D9"/>
          </w:tcPr>
          <w:p w14:paraId="179E30E9" w14:textId="28FA577B" w:rsidR="000F206A" w:rsidRPr="00D63B3D" w:rsidRDefault="000F206A" w:rsidP="00837DB3">
            <w:pPr>
              <w:pStyle w:val="NoSpacing"/>
              <w:rPr>
                <w:rFonts w:ascii="Arial" w:hAnsi="Arial" w:cs="Arial"/>
                <w:b/>
                <w:bCs/>
              </w:rPr>
            </w:pPr>
            <w:r w:rsidRPr="00D63B3D">
              <w:rPr>
                <w:rFonts w:ascii="Arial" w:hAnsi="Arial" w:cs="Arial"/>
                <w:b/>
                <w:bCs/>
              </w:rPr>
              <w:t>Status</w:t>
            </w:r>
          </w:p>
        </w:tc>
      </w:tr>
      <w:tr w:rsidR="000F206A" w:rsidRPr="00D63B3D" w14:paraId="1C20300D" w14:textId="77777777" w:rsidTr="00B70EA4">
        <w:tc>
          <w:tcPr>
            <w:tcW w:w="1696" w:type="dxa"/>
            <w:shd w:val="clear" w:color="auto" w:fill="FFFFFF" w:themeFill="background1"/>
          </w:tcPr>
          <w:p w14:paraId="63AE74B5" w14:textId="08537895" w:rsidR="000F206A" w:rsidRPr="00D63B3D" w:rsidRDefault="00087E50" w:rsidP="00837DB3">
            <w:pPr>
              <w:pStyle w:val="NoSpacing"/>
              <w:rPr>
                <w:rFonts w:ascii="Arial" w:hAnsi="Arial" w:cs="Arial"/>
              </w:rPr>
            </w:pPr>
            <w:r w:rsidRPr="00D63B3D">
              <w:rPr>
                <w:rFonts w:ascii="Arial" w:hAnsi="Arial" w:cs="Arial"/>
              </w:rPr>
              <w:t xml:space="preserve">Culture-led Regeneration </w:t>
            </w:r>
          </w:p>
        </w:tc>
        <w:tc>
          <w:tcPr>
            <w:tcW w:w="7088" w:type="dxa"/>
            <w:shd w:val="clear" w:color="auto" w:fill="FFFFFF" w:themeFill="background1"/>
          </w:tcPr>
          <w:p w14:paraId="43624CB3" w14:textId="77777777" w:rsidR="000F206A" w:rsidRDefault="008C1172" w:rsidP="00837DB3">
            <w:pPr>
              <w:pStyle w:val="NoSpacing"/>
              <w:rPr>
                <w:rFonts w:ascii="Arial" w:hAnsi="Arial" w:cs="Arial"/>
              </w:rPr>
            </w:pPr>
            <w:r w:rsidRPr="00D63B3D">
              <w:rPr>
                <w:rFonts w:ascii="Arial" w:hAnsi="Arial" w:cs="Arial"/>
              </w:rPr>
              <w:t xml:space="preserve">The development of </w:t>
            </w:r>
            <w:r w:rsidR="00D63B3D" w:rsidRPr="00D63B3D">
              <w:rPr>
                <w:rFonts w:ascii="Arial" w:hAnsi="Arial" w:cs="Arial"/>
              </w:rPr>
              <w:t>a business case for t</w:t>
            </w:r>
            <w:r w:rsidR="00D63B3D">
              <w:rPr>
                <w:rFonts w:ascii="Arial" w:hAnsi="Arial" w:cs="Arial"/>
              </w:rPr>
              <w:t>he</w:t>
            </w:r>
            <w:r w:rsidR="00D63B3D" w:rsidRPr="00D63B3D">
              <w:rPr>
                <w:rFonts w:ascii="Arial" w:hAnsi="Arial" w:cs="Arial"/>
              </w:rPr>
              <w:t xml:space="preserve"> better integration of the Theatre and </w:t>
            </w:r>
            <w:r w:rsidR="00D63B3D">
              <w:rPr>
                <w:rFonts w:ascii="Arial" w:hAnsi="Arial" w:cs="Arial"/>
              </w:rPr>
              <w:t xml:space="preserve">Museum, </w:t>
            </w:r>
            <w:r w:rsidR="00717D00">
              <w:rPr>
                <w:rFonts w:ascii="Arial" w:hAnsi="Arial" w:cs="Arial"/>
              </w:rPr>
              <w:t xml:space="preserve">known as the </w:t>
            </w:r>
            <w:r w:rsidR="00C727DD" w:rsidRPr="00E44111">
              <w:rPr>
                <w:rFonts w:ascii="Arial" w:hAnsi="Arial" w:cs="Arial"/>
                <w:bCs/>
              </w:rPr>
              <w:t xml:space="preserve">Mansfield Cultural Hub project </w:t>
            </w:r>
            <w:r w:rsidR="00C727DD">
              <w:rPr>
                <w:rFonts w:ascii="Arial" w:hAnsi="Arial" w:cs="Arial"/>
                <w:bCs/>
              </w:rPr>
              <w:t xml:space="preserve">with the scope including </w:t>
            </w:r>
            <w:r w:rsidR="00C727DD" w:rsidRPr="00E44111">
              <w:rPr>
                <w:rFonts w:ascii="Arial" w:hAnsi="Arial" w:cs="Arial"/>
              </w:rPr>
              <w:t>preparation of RIBA Stage 1 (Concept)</w:t>
            </w:r>
            <w:r w:rsidR="00717D00">
              <w:rPr>
                <w:rFonts w:ascii="Arial" w:hAnsi="Arial" w:cs="Arial"/>
              </w:rPr>
              <w:t xml:space="preserve"> designs</w:t>
            </w:r>
            <w:r w:rsidR="00C727DD">
              <w:rPr>
                <w:rFonts w:ascii="Arial" w:hAnsi="Arial" w:cs="Arial"/>
              </w:rPr>
              <w:t xml:space="preserve">, </w:t>
            </w:r>
            <w:r w:rsidR="00C727DD" w:rsidRPr="00E44111">
              <w:rPr>
                <w:rFonts w:ascii="Arial" w:hAnsi="Arial" w:cs="Arial"/>
              </w:rPr>
              <w:t>structural and building service design input, the development of a robust business case and capital cost estimations</w:t>
            </w:r>
            <w:r w:rsidR="00717D00">
              <w:rPr>
                <w:rFonts w:ascii="Arial" w:hAnsi="Arial" w:cs="Arial"/>
              </w:rPr>
              <w:t xml:space="preserve"> for future bids</w:t>
            </w:r>
            <w:r w:rsidR="008B0CD1">
              <w:rPr>
                <w:rFonts w:ascii="Arial" w:hAnsi="Arial" w:cs="Arial"/>
              </w:rPr>
              <w:t xml:space="preserve"> for external funding.</w:t>
            </w:r>
          </w:p>
          <w:p w14:paraId="36C0356C" w14:textId="0E7DCBC8" w:rsidR="005A37C6" w:rsidRPr="00D63B3D" w:rsidRDefault="005A37C6" w:rsidP="00837DB3">
            <w:pPr>
              <w:pStyle w:val="NoSpacing"/>
              <w:rPr>
                <w:rFonts w:ascii="Arial" w:hAnsi="Arial" w:cs="Arial"/>
              </w:rPr>
            </w:pPr>
          </w:p>
        </w:tc>
        <w:tc>
          <w:tcPr>
            <w:tcW w:w="1134" w:type="dxa"/>
            <w:shd w:val="clear" w:color="auto" w:fill="FFFFFF" w:themeFill="background1"/>
          </w:tcPr>
          <w:p w14:paraId="06CE38C5" w14:textId="0C0BF42B" w:rsidR="000F206A" w:rsidRPr="00D63B3D" w:rsidRDefault="00C727DD" w:rsidP="00837DB3">
            <w:pPr>
              <w:pStyle w:val="NoSpacing"/>
              <w:rPr>
                <w:rFonts w:ascii="Arial" w:hAnsi="Arial" w:cs="Arial"/>
              </w:rPr>
            </w:pPr>
            <w:r>
              <w:rPr>
                <w:rFonts w:ascii="Arial" w:hAnsi="Arial" w:cs="Arial"/>
              </w:rPr>
              <w:t>£50,000</w:t>
            </w:r>
          </w:p>
        </w:tc>
        <w:tc>
          <w:tcPr>
            <w:tcW w:w="3827" w:type="dxa"/>
            <w:shd w:val="clear" w:color="auto" w:fill="FFFFFF" w:themeFill="background1"/>
          </w:tcPr>
          <w:p w14:paraId="30648A73" w14:textId="3B4B03B3" w:rsidR="000F206A" w:rsidRPr="00D63B3D" w:rsidRDefault="00891977" w:rsidP="00837DB3">
            <w:pPr>
              <w:pStyle w:val="NoSpacing"/>
              <w:rPr>
                <w:rFonts w:ascii="Arial" w:hAnsi="Arial" w:cs="Arial"/>
              </w:rPr>
            </w:pPr>
            <w:r>
              <w:rPr>
                <w:rFonts w:ascii="Arial" w:hAnsi="Arial" w:cs="Arial"/>
              </w:rPr>
              <w:t xml:space="preserve">Committed. </w:t>
            </w:r>
            <w:r w:rsidR="00C727DD">
              <w:rPr>
                <w:rFonts w:ascii="Arial" w:hAnsi="Arial" w:cs="Arial"/>
              </w:rPr>
              <w:t xml:space="preserve">Following a </w:t>
            </w:r>
            <w:r w:rsidR="00FA3DD3">
              <w:rPr>
                <w:rFonts w:ascii="Arial" w:hAnsi="Arial" w:cs="Arial"/>
              </w:rPr>
              <w:t xml:space="preserve">procurement </w:t>
            </w:r>
            <w:r w:rsidR="00C727DD">
              <w:rPr>
                <w:rFonts w:ascii="Arial" w:hAnsi="Arial" w:cs="Arial"/>
              </w:rPr>
              <w:t xml:space="preserve">process, </w:t>
            </w:r>
            <w:r w:rsidR="00C727DD" w:rsidRPr="00E44111">
              <w:rPr>
                <w:rFonts w:ascii="Arial" w:hAnsi="Arial" w:cs="Arial"/>
              </w:rPr>
              <w:t>Maber Associates</w:t>
            </w:r>
            <w:r w:rsidR="00C727DD">
              <w:rPr>
                <w:rFonts w:ascii="Arial" w:hAnsi="Arial" w:cs="Arial"/>
              </w:rPr>
              <w:t xml:space="preserve"> with Focus Consultants </w:t>
            </w:r>
            <w:r w:rsidR="008B0CD1">
              <w:rPr>
                <w:rFonts w:ascii="Arial" w:hAnsi="Arial" w:cs="Arial"/>
              </w:rPr>
              <w:t xml:space="preserve">now </w:t>
            </w:r>
            <w:r w:rsidR="00C727DD">
              <w:rPr>
                <w:rFonts w:ascii="Arial" w:hAnsi="Arial" w:cs="Arial"/>
              </w:rPr>
              <w:t>appointed</w:t>
            </w:r>
            <w:r w:rsidR="00717D00">
              <w:rPr>
                <w:rFonts w:ascii="Arial" w:hAnsi="Arial" w:cs="Arial"/>
              </w:rPr>
              <w:t>.</w:t>
            </w:r>
            <w:r w:rsidR="008B0CD1">
              <w:rPr>
                <w:rFonts w:ascii="Arial" w:hAnsi="Arial" w:cs="Arial"/>
              </w:rPr>
              <w:t xml:space="preserve"> Work commenced</w:t>
            </w:r>
            <w:r w:rsidR="00AC7462">
              <w:rPr>
                <w:rFonts w:ascii="Arial" w:hAnsi="Arial" w:cs="Arial"/>
              </w:rPr>
              <w:t>, to be concluded by the end of May 2025.</w:t>
            </w:r>
            <w:r w:rsidR="00D678EE">
              <w:rPr>
                <w:rFonts w:ascii="Arial" w:hAnsi="Arial" w:cs="Arial"/>
              </w:rPr>
              <w:t xml:space="preserve"> </w:t>
            </w:r>
          </w:p>
        </w:tc>
      </w:tr>
      <w:tr w:rsidR="00096DF4" w:rsidRPr="00D63B3D" w14:paraId="559A07BD" w14:textId="77777777" w:rsidTr="00B70EA4">
        <w:tc>
          <w:tcPr>
            <w:tcW w:w="1696" w:type="dxa"/>
            <w:shd w:val="clear" w:color="auto" w:fill="FFFFFF" w:themeFill="background1"/>
          </w:tcPr>
          <w:p w14:paraId="7C41FCF6" w14:textId="28D80E9B" w:rsidR="00096DF4" w:rsidRPr="00D63B3D" w:rsidRDefault="00096DF4" w:rsidP="00837DB3">
            <w:pPr>
              <w:pStyle w:val="NoSpacing"/>
              <w:rPr>
                <w:rFonts w:ascii="Arial" w:hAnsi="Arial" w:cs="Arial"/>
              </w:rPr>
            </w:pPr>
            <w:r>
              <w:rPr>
                <w:rFonts w:ascii="Arial" w:hAnsi="Arial" w:cs="Arial"/>
              </w:rPr>
              <w:t>Place Board Manager</w:t>
            </w:r>
          </w:p>
        </w:tc>
        <w:tc>
          <w:tcPr>
            <w:tcW w:w="7088" w:type="dxa"/>
            <w:shd w:val="clear" w:color="auto" w:fill="FFFFFF" w:themeFill="background1"/>
          </w:tcPr>
          <w:p w14:paraId="61FA2428" w14:textId="77777777" w:rsidR="006E54ED" w:rsidRDefault="00EB4F01" w:rsidP="00837DB3">
            <w:pPr>
              <w:pStyle w:val="NoSpacing"/>
              <w:rPr>
                <w:rFonts w:ascii="Arial" w:hAnsi="Arial" w:cs="Arial"/>
              </w:rPr>
            </w:pPr>
            <w:r>
              <w:rPr>
                <w:rFonts w:ascii="Arial" w:hAnsi="Arial" w:cs="Arial"/>
              </w:rPr>
              <w:t xml:space="preserve">Support the salary costs of the Place Board Manager over the </w:t>
            </w:r>
            <w:r w:rsidR="006E54ED">
              <w:rPr>
                <w:rFonts w:ascii="Arial" w:hAnsi="Arial" w:cs="Arial"/>
              </w:rPr>
              <w:t xml:space="preserve">initial </w:t>
            </w:r>
            <w:r>
              <w:rPr>
                <w:rFonts w:ascii="Arial" w:hAnsi="Arial" w:cs="Arial"/>
              </w:rPr>
              <w:t>12 months</w:t>
            </w:r>
          </w:p>
          <w:p w14:paraId="0A925EA2" w14:textId="41548188" w:rsidR="00096DF4" w:rsidRPr="00D63B3D" w:rsidRDefault="00EB4F01" w:rsidP="00837DB3">
            <w:pPr>
              <w:pStyle w:val="NoSpacing"/>
              <w:rPr>
                <w:rFonts w:ascii="Arial" w:hAnsi="Arial" w:cs="Arial"/>
              </w:rPr>
            </w:pPr>
            <w:r>
              <w:rPr>
                <w:rFonts w:ascii="Arial" w:hAnsi="Arial" w:cs="Arial"/>
              </w:rPr>
              <w:t xml:space="preserve"> </w:t>
            </w:r>
          </w:p>
        </w:tc>
        <w:tc>
          <w:tcPr>
            <w:tcW w:w="1134" w:type="dxa"/>
            <w:shd w:val="clear" w:color="auto" w:fill="FFFFFF" w:themeFill="background1"/>
          </w:tcPr>
          <w:p w14:paraId="2C452AAB" w14:textId="3B8EE8A5" w:rsidR="00096DF4" w:rsidRDefault="006E54ED" w:rsidP="00837DB3">
            <w:pPr>
              <w:pStyle w:val="NoSpacing"/>
              <w:rPr>
                <w:rFonts w:ascii="Arial" w:hAnsi="Arial" w:cs="Arial"/>
              </w:rPr>
            </w:pPr>
            <w:r>
              <w:rPr>
                <w:rFonts w:ascii="Arial" w:hAnsi="Arial" w:cs="Arial"/>
              </w:rPr>
              <w:t>£4</w:t>
            </w:r>
            <w:r w:rsidR="00231F0C">
              <w:rPr>
                <w:rFonts w:ascii="Arial" w:hAnsi="Arial" w:cs="Arial"/>
              </w:rPr>
              <w:t>8</w:t>
            </w:r>
            <w:r>
              <w:rPr>
                <w:rFonts w:ascii="Arial" w:hAnsi="Arial" w:cs="Arial"/>
              </w:rPr>
              <w:t>,000</w:t>
            </w:r>
          </w:p>
        </w:tc>
        <w:tc>
          <w:tcPr>
            <w:tcW w:w="3827" w:type="dxa"/>
            <w:shd w:val="clear" w:color="auto" w:fill="FFFFFF" w:themeFill="background1"/>
          </w:tcPr>
          <w:p w14:paraId="6E6A7DD6" w14:textId="2B944F93" w:rsidR="00096DF4" w:rsidRDefault="007E090F" w:rsidP="00837DB3">
            <w:pPr>
              <w:pStyle w:val="NoSpacing"/>
              <w:rPr>
                <w:rFonts w:ascii="Arial" w:hAnsi="Arial" w:cs="Arial"/>
              </w:rPr>
            </w:pPr>
            <w:r>
              <w:rPr>
                <w:rFonts w:ascii="Arial" w:hAnsi="Arial" w:cs="Arial"/>
              </w:rPr>
              <w:t>C</w:t>
            </w:r>
            <w:r w:rsidR="006E54ED">
              <w:rPr>
                <w:rFonts w:ascii="Arial" w:hAnsi="Arial" w:cs="Arial"/>
              </w:rPr>
              <w:t xml:space="preserve">ompleted.  </w:t>
            </w:r>
            <w:r w:rsidR="008A14CA">
              <w:rPr>
                <w:rFonts w:ascii="Arial" w:hAnsi="Arial" w:cs="Arial"/>
              </w:rPr>
              <w:t>Further</w:t>
            </w:r>
            <w:r w:rsidR="00F0137B">
              <w:rPr>
                <w:rFonts w:ascii="Arial" w:hAnsi="Arial" w:cs="Arial"/>
              </w:rPr>
              <w:t xml:space="preserve"> 6 </w:t>
            </w:r>
            <w:r w:rsidR="008A14CA">
              <w:rPr>
                <w:rFonts w:ascii="Arial" w:hAnsi="Arial" w:cs="Arial"/>
              </w:rPr>
              <w:t>months’</w:t>
            </w:r>
            <w:r w:rsidR="00F0137B">
              <w:rPr>
                <w:rFonts w:ascii="Arial" w:hAnsi="Arial" w:cs="Arial"/>
              </w:rPr>
              <w:t xml:space="preserve"> salary costs to be </w:t>
            </w:r>
            <w:r w:rsidR="008A14CA">
              <w:rPr>
                <w:rFonts w:ascii="Arial" w:hAnsi="Arial" w:cs="Arial"/>
              </w:rPr>
              <w:t xml:space="preserve">met via the </w:t>
            </w:r>
            <w:r w:rsidR="00B643BE">
              <w:rPr>
                <w:rFonts w:ascii="Arial" w:hAnsi="Arial" w:cs="Arial"/>
              </w:rPr>
              <w:t>P</w:t>
            </w:r>
            <w:r w:rsidR="00D30339">
              <w:rPr>
                <w:rFonts w:ascii="Arial" w:hAnsi="Arial" w:cs="Arial"/>
              </w:rPr>
              <w:t xml:space="preserve">lan for Neighbourhoods </w:t>
            </w:r>
            <w:r w:rsidR="00B643BE">
              <w:rPr>
                <w:rFonts w:ascii="Arial" w:hAnsi="Arial" w:cs="Arial"/>
              </w:rPr>
              <w:t xml:space="preserve">capacity funding and </w:t>
            </w:r>
            <w:r w:rsidR="00D30339">
              <w:rPr>
                <w:rFonts w:ascii="Arial" w:hAnsi="Arial" w:cs="Arial"/>
              </w:rPr>
              <w:t xml:space="preserve">subject to an </w:t>
            </w:r>
            <w:r w:rsidR="00B643BE">
              <w:rPr>
                <w:rFonts w:ascii="Arial" w:hAnsi="Arial" w:cs="Arial"/>
              </w:rPr>
              <w:t>agreement as to partner contributions</w:t>
            </w:r>
            <w:r w:rsidR="00D30339">
              <w:rPr>
                <w:rFonts w:ascii="Arial" w:hAnsi="Arial" w:cs="Arial"/>
              </w:rPr>
              <w:t xml:space="preserve"> going forwards.</w:t>
            </w:r>
          </w:p>
          <w:p w14:paraId="7482B656" w14:textId="2D19219D" w:rsidR="00B643BE" w:rsidRDefault="00B643BE" w:rsidP="00837DB3">
            <w:pPr>
              <w:pStyle w:val="NoSpacing"/>
              <w:rPr>
                <w:rFonts w:ascii="Arial" w:hAnsi="Arial" w:cs="Arial"/>
              </w:rPr>
            </w:pPr>
          </w:p>
        </w:tc>
      </w:tr>
      <w:tr w:rsidR="008B0CD1" w:rsidRPr="00D63B3D" w14:paraId="3D123A6A" w14:textId="77777777" w:rsidTr="00B70EA4">
        <w:tc>
          <w:tcPr>
            <w:tcW w:w="1696" w:type="dxa"/>
            <w:shd w:val="clear" w:color="auto" w:fill="FFFFFF" w:themeFill="background1"/>
          </w:tcPr>
          <w:p w14:paraId="4F19159D" w14:textId="3657BB49" w:rsidR="008B0CD1" w:rsidRPr="00D63B3D" w:rsidRDefault="002B2AC2" w:rsidP="00837DB3">
            <w:pPr>
              <w:pStyle w:val="NoSpacing"/>
              <w:rPr>
                <w:rFonts w:ascii="Arial" w:hAnsi="Arial" w:cs="Arial"/>
              </w:rPr>
            </w:pPr>
            <w:r>
              <w:rPr>
                <w:rFonts w:ascii="Arial" w:hAnsi="Arial" w:cs="Arial"/>
              </w:rPr>
              <w:t>Creative and Digital Sector Review</w:t>
            </w:r>
          </w:p>
        </w:tc>
        <w:tc>
          <w:tcPr>
            <w:tcW w:w="7088" w:type="dxa"/>
            <w:shd w:val="clear" w:color="auto" w:fill="FFFFFF" w:themeFill="background1"/>
          </w:tcPr>
          <w:p w14:paraId="58C35799" w14:textId="0776F0A8" w:rsidR="008B0CD1" w:rsidRDefault="000F6EE1" w:rsidP="00837DB3">
            <w:pPr>
              <w:pStyle w:val="NoSpacing"/>
              <w:rPr>
                <w:rFonts w:ascii="Arial" w:hAnsi="Arial" w:cs="Arial"/>
              </w:rPr>
            </w:pPr>
            <w:r>
              <w:rPr>
                <w:rFonts w:ascii="Arial" w:hAnsi="Arial" w:cs="Arial"/>
              </w:rPr>
              <w:t xml:space="preserve">NTU sector study </w:t>
            </w:r>
            <w:r w:rsidR="00C86676">
              <w:rPr>
                <w:rFonts w:ascii="Arial" w:hAnsi="Arial" w:cs="Arial"/>
              </w:rPr>
              <w:t xml:space="preserve">confirms a strong and growing creative and digital sector in Mansfield.   </w:t>
            </w:r>
            <w:r w:rsidR="002948D4">
              <w:rPr>
                <w:rFonts w:ascii="Arial" w:hAnsi="Arial" w:cs="Arial"/>
              </w:rPr>
              <w:t xml:space="preserve">The ambition is to </w:t>
            </w:r>
            <w:r w:rsidR="00EA257A">
              <w:rPr>
                <w:rFonts w:ascii="Arial" w:hAnsi="Arial" w:cs="Arial"/>
              </w:rPr>
              <w:t>review</w:t>
            </w:r>
            <w:r w:rsidR="002948D4">
              <w:rPr>
                <w:rFonts w:ascii="Arial" w:hAnsi="Arial" w:cs="Arial"/>
              </w:rPr>
              <w:t xml:space="preserve"> the </w:t>
            </w:r>
            <w:r w:rsidR="00EA257A">
              <w:rPr>
                <w:rFonts w:ascii="Arial" w:hAnsi="Arial" w:cs="Arial"/>
              </w:rPr>
              <w:t>strength</w:t>
            </w:r>
            <w:r w:rsidR="002948D4">
              <w:rPr>
                <w:rFonts w:ascii="Arial" w:hAnsi="Arial" w:cs="Arial"/>
              </w:rPr>
              <w:t xml:space="preserve"> of the sector, promote it</w:t>
            </w:r>
            <w:r w:rsidR="00EA257A">
              <w:rPr>
                <w:rFonts w:ascii="Arial" w:hAnsi="Arial" w:cs="Arial"/>
              </w:rPr>
              <w:t>s opportunities in Mansfield, develop and influence business support provision and explore events and</w:t>
            </w:r>
            <w:r w:rsidR="00096DF4">
              <w:rPr>
                <w:rFonts w:ascii="Arial" w:hAnsi="Arial" w:cs="Arial"/>
              </w:rPr>
              <w:t xml:space="preserve"> the potential for venue development.  </w:t>
            </w:r>
            <w:r w:rsidR="00B70EA4">
              <w:rPr>
                <w:rFonts w:ascii="Arial" w:hAnsi="Arial" w:cs="Arial"/>
              </w:rPr>
              <w:t xml:space="preserve">Baseline review undertaken, based on NTU sector study.  Initial discussions on the scope of the review commenced following meetings with NTU, MDC Cultural Services and the National Portfolio Organisation team, alongside local creative business engagement.  Other partners to be engaged to </w:t>
            </w:r>
            <w:r w:rsidR="00096DF4">
              <w:rPr>
                <w:rFonts w:ascii="Arial" w:hAnsi="Arial" w:cs="Arial"/>
              </w:rPr>
              <w:t>establish</w:t>
            </w:r>
            <w:r w:rsidR="00B70EA4">
              <w:rPr>
                <w:rFonts w:ascii="Arial" w:hAnsi="Arial" w:cs="Arial"/>
              </w:rPr>
              <w:t xml:space="preserve"> a steering group.  </w:t>
            </w:r>
          </w:p>
          <w:p w14:paraId="105EF810" w14:textId="6042E98E" w:rsidR="00096DF4" w:rsidRPr="00D63B3D" w:rsidRDefault="00096DF4" w:rsidP="00837DB3">
            <w:pPr>
              <w:pStyle w:val="NoSpacing"/>
              <w:rPr>
                <w:rFonts w:ascii="Arial" w:hAnsi="Arial" w:cs="Arial"/>
              </w:rPr>
            </w:pPr>
          </w:p>
        </w:tc>
        <w:tc>
          <w:tcPr>
            <w:tcW w:w="1134" w:type="dxa"/>
            <w:shd w:val="clear" w:color="auto" w:fill="FFFFFF" w:themeFill="background1"/>
          </w:tcPr>
          <w:p w14:paraId="265F30FE" w14:textId="4C5FF630" w:rsidR="008B0CD1" w:rsidRDefault="002B2AC2" w:rsidP="00837DB3">
            <w:pPr>
              <w:pStyle w:val="NoSpacing"/>
              <w:rPr>
                <w:rFonts w:ascii="Arial" w:hAnsi="Arial" w:cs="Arial"/>
              </w:rPr>
            </w:pPr>
            <w:r>
              <w:rPr>
                <w:rFonts w:ascii="Arial" w:hAnsi="Arial" w:cs="Arial"/>
              </w:rPr>
              <w:t>£50</w:t>
            </w:r>
            <w:r w:rsidR="005A37C6">
              <w:rPr>
                <w:rFonts w:ascii="Arial" w:hAnsi="Arial" w:cs="Arial"/>
              </w:rPr>
              <w:t>,000</w:t>
            </w:r>
          </w:p>
        </w:tc>
        <w:tc>
          <w:tcPr>
            <w:tcW w:w="3827" w:type="dxa"/>
            <w:shd w:val="clear" w:color="auto" w:fill="FFFFFF" w:themeFill="background1"/>
          </w:tcPr>
          <w:p w14:paraId="2CE73613" w14:textId="4C3E92A3" w:rsidR="008B0CD1" w:rsidRDefault="00891977" w:rsidP="00837DB3">
            <w:pPr>
              <w:pStyle w:val="NoSpacing"/>
              <w:rPr>
                <w:rFonts w:ascii="Arial" w:hAnsi="Arial" w:cs="Arial"/>
              </w:rPr>
            </w:pPr>
            <w:r>
              <w:rPr>
                <w:rFonts w:ascii="Arial" w:hAnsi="Arial" w:cs="Arial"/>
              </w:rPr>
              <w:t xml:space="preserve">Allocated. </w:t>
            </w:r>
            <w:r w:rsidR="00585CAB">
              <w:rPr>
                <w:rFonts w:ascii="Arial" w:hAnsi="Arial" w:cs="Arial"/>
              </w:rPr>
              <w:t xml:space="preserve">Draft scope </w:t>
            </w:r>
            <w:r w:rsidR="00B70EA4">
              <w:rPr>
                <w:rFonts w:ascii="Arial" w:hAnsi="Arial" w:cs="Arial"/>
              </w:rPr>
              <w:t>in development</w:t>
            </w:r>
            <w:r w:rsidR="00E82189">
              <w:rPr>
                <w:rFonts w:ascii="Arial" w:hAnsi="Arial" w:cs="Arial"/>
              </w:rPr>
              <w:t xml:space="preserve">, with </w:t>
            </w:r>
            <w:r w:rsidR="00B70EA4">
              <w:rPr>
                <w:rFonts w:ascii="Arial" w:hAnsi="Arial" w:cs="Arial"/>
              </w:rPr>
              <w:t xml:space="preserve">procurement </w:t>
            </w:r>
            <w:r w:rsidR="00E82189">
              <w:rPr>
                <w:rFonts w:ascii="Arial" w:hAnsi="Arial" w:cs="Arial"/>
              </w:rPr>
              <w:t>to</w:t>
            </w:r>
            <w:r w:rsidR="00E8218D">
              <w:rPr>
                <w:rFonts w:ascii="Arial" w:hAnsi="Arial" w:cs="Arial"/>
              </w:rPr>
              <w:t xml:space="preserve"> be </w:t>
            </w:r>
            <w:r w:rsidR="008455F7">
              <w:rPr>
                <w:rFonts w:ascii="Arial" w:hAnsi="Arial" w:cs="Arial"/>
              </w:rPr>
              <w:t xml:space="preserve">facilitated in April.  </w:t>
            </w:r>
            <w:r w:rsidR="00D678EE">
              <w:rPr>
                <w:rFonts w:ascii="Arial" w:hAnsi="Arial" w:cs="Arial"/>
              </w:rPr>
              <w:t>Anticipated</w:t>
            </w:r>
            <w:r w:rsidR="008455F7">
              <w:rPr>
                <w:rFonts w:ascii="Arial" w:hAnsi="Arial" w:cs="Arial"/>
              </w:rPr>
              <w:t xml:space="preserve"> completion </w:t>
            </w:r>
            <w:r w:rsidR="002948D4">
              <w:rPr>
                <w:rFonts w:ascii="Arial" w:hAnsi="Arial" w:cs="Arial"/>
              </w:rPr>
              <w:t xml:space="preserve">in </w:t>
            </w:r>
            <w:r w:rsidR="00D678EE">
              <w:rPr>
                <w:rFonts w:ascii="Arial" w:hAnsi="Arial" w:cs="Arial"/>
              </w:rPr>
              <w:t>October 2025</w:t>
            </w:r>
            <w:r w:rsidR="001F7C7A">
              <w:rPr>
                <w:rFonts w:ascii="Arial" w:hAnsi="Arial" w:cs="Arial"/>
              </w:rPr>
              <w:t>.</w:t>
            </w:r>
          </w:p>
        </w:tc>
      </w:tr>
      <w:tr w:rsidR="00096DF4" w:rsidRPr="00D63B3D" w14:paraId="1DAC41D4" w14:textId="77777777" w:rsidTr="00B70EA4">
        <w:tc>
          <w:tcPr>
            <w:tcW w:w="1696" w:type="dxa"/>
            <w:shd w:val="clear" w:color="auto" w:fill="FFFFFF" w:themeFill="background1"/>
          </w:tcPr>
          <w:p w14:paraId="1F64A45D" w14:textId="359A0136" w:rsidR="00096DF4" w:rsidRDefault="00096DF4" w:rsidP="00837DB3">
            <w:pPr>
              <w:pStyle w:val="NoSpacing"/>
              <w:rPr>
                <w:rFonts w:ascii="Arial" w:hAnsi="Arial" w:cs="Arial"/>
              </w:rPr>
            </w:pPr>
            <w:r>
              <w:rPr>
                <w:rFonts w:ascii="Arial" w:hAnsi="Arial" w:cs="Arial"/>
              </w:rPr>
              <w:t>Inward Investment Playbook</w:t>
            </w:r>
          </w:p>
        </w:tc>
        <w:tc>
          <w:tcPr>
            <w:tcW w:w="7088" w:type="dxa"/>
            <w:shd w:val="clear" w:color="auto" w:fill="FFFFFF" w:themeFill="background1"/>
          </w:tcPr>
          <w:p w14:paraId="73023503" w14:textId="7E4E9BAC" w:rsidR="00096DF4" w:rsidRDefault="005F5196" w:rsidP="00837DB3">
            <w:pPr>
              <w:pStyle w:val="NoSpacing"/>
              <w:rPr>
                <w:rFonts w:ascii="Arial" w:hAnsi="Arial" w:cs="Arial"/>
              </w:rPr>
            </w:pPr>
            <w:r>
              <w:rPr>
                <w:rFonts w:ascii="Arial" w:hAnsi="Arial" w:cs="Arial"/>
              </w:rPr>
              <w:t xml:space="preserve">Supporting the development of an inward investment playbook, </w:t>
            </w:r>
            <w:r w:rsidR="00461005">
              <w:rPr>
                <w:rFonts w:ascii="Arial" w:hAnsi="Arial" w:cs="Arial"/>
              </w:rPr>
              <w:t xml:space="preserve">to be </w:t>
            </w:r>
            <w:r>
              <w:rPr>
                <w:rFonts w:ascii="Arial" w:hAnsi="Arial" w:cs="Arial"/>
              </w:rPr>
              <w:t xml:space="preserve">aligned with the </w:t>
            </w:r>
            <w:r w:rsidR="00461005">
              <w:rPr>
                <w:rFonts w:ascii="Arial" w:hAnsi="Arial" w:cs="Arial"/>
              </w:rPr>
              <w:t xml:space="preserve">newly established inward investment functions </w:t>
            </w:r>
            <w:r w:rsidR="00A33BDB">
              <w:rPr>
                <w:rFonts w:ascii="Arial" w:hAnsi="Arial" w:cs="Arial"/>
              </w:rPr>
              <w:t xml:space="preserve">within </w:t>
            </w:r>
            <w:r w:rsidR="000A2096">
              <w:rPr>
                <w:rFonts w:ascii="Arial" w:hAnsi="Arial" w:cs="Arial"/>
              </w:rPr>
              <w:t>EMCCA and</w:t>
            </w:r>
            <w:r w:rsidR="0083349F">
              <w:rPr>
                <w:rFonts w:ascii="Arial" w:hAnsi="Arial" w:cs="Arial"/>
              </w:rPr>
              <w:t xml:space="preserve"> developed</w:t>
            </w:r>
            <w:r w:rsidR="00A33BDB">
              <w:rPr>
                <w:rFonts w:ascii="Arial" w:hAnsi="Arial" w:cs="Arial"/>
              </w:rPr>
              <w:t xml:space="preserve"> in close </w:t>
            </w:r>
            <w:r w:rsidR="00AD2B2E">
              <w:rPr>
                <w:rFonts w:ascii="Arial" w:hAnsi="Arial" w:cs="Arial"/>
              </w:rPr>
              <w:t xml:space="preserve">engagement </w:t>
            </w:r>
            <w:r w:rsidR="008B13C6">
              <w:rPr>
                <w:rFonts w:ascii="Arial" w:hAnsi="Arial" w:cs="Arial"/>
              </w:rPr>
              <w:t xml:space="preserve">with the Destination Mansfield </w:t>
            </w:r>
            <w:r w:rsidR="00AD2B2E">
              <w:rPr>
                <w:rFonts w:ascii="Arial" w:hAnsi="Arial" w:cs="Arial"/>
              </w:rPr>
              <w:t>project’s ambition</w:t>
            </w:r>
            <w:r w:rsidR="0083349F">
              <w:rPr>
                <w:rFonts w:ascii="Arial" w:hAnsi="Arial" w:cs="Arial"/>
              </w:rPr>
              <w:t xml:space="preserve">s.  The project </w:t>
            </w:r>
            <w:r w:rsidR="00037986">
              <w:rPr>
                <w:rFonts w:ascii="Arial" w:hAnsi="Arial" w:cs="Arial"/>
              </w:rPr>
              <w:t xml:space="preserve">is </w:t>
            </w:r>
            <w:r w:rsidR="00FA24F3">
              <w:rPr>
                <w:rFonts w:ascii="Arial" w:hAnsi="Arial" w:cs="Arial"/>
              </w:rPr>
              <w:t>linked</w:t>
            </w:r>
            <w:r w:rsidR="008558B1">
              <w:rPr>
                <w:rFonts w:ascii="Arial" w:hAnsi="Arial" w:cs="Arial"/>
              </w:rPr>
              <w:t xml:space="preserve"> with the </w:t>
            </w:r>
            <w:r w:rsidR="00037986">
              <w:rPr>
                <w:rFonts w:ascii="Arial" w:hAnsi="Arial" w:cs="Arial"/>
              </w:rPr>
              <w:t xml:space="preserve">Vision and Pipeline </w:t>
            </w:r>
            <w:r w:rsidR="00C7079E">
              <w:rPr>
                <w:rFonts w:ascii="Arial" w:hAnsi="Arial" w:cs="Arial"/>
              </w:rPr>
              <w:t xml:space="preserve">project </w:t>
            </w:r>
            <w:r w:rsidR="0083349F">
              <w:rPr>
                <w:rFonts w:ascii="Arial" w:hAnsi="Arial" w:cs="Arial"/>
              </w:rPr>
              <w:t xml:space="preserve">referenced </w:t>
            </w:r>
            <w:r w:rsidR="00C7079E">
              <w:rPr>
                <w:rFonts w:ascii="Arial" w:hAnsi="Arial" w:cs="Arial"/>
              </w:rPr>
              <w:t xml:space="preserve">below. </w:t>
            </w:r>
          </w:p>
        </w:tc>
        <w:tc>
          <w:tcPr>
            <w:tcW w:w="1134" w:type="dxa"/>
            <w:shd w:val="clear" w:color="auto" w:fill="FFFFFF" w:themeFill="background1"/>
          </w:tcPr>
          <w:p w14:paraId="36B89AE4" w14:textId="53568B7E" w:rsidR="00096DF4" w:rsidRDefault="00A33BDB" w:rsidP="00837DB3">
            <w:pPr>
              <w:pStyle w:val="NoSpacing"/>
              <w:rPr>
                <w:rFonts w:ascii="Arial" w:hAnsi="Arial" w:cs="Arial"/>
              </w:rPr>
            </w:pPr>
            <w:r>
              <w:rPr>
                <w:rFonts w:ascii="Arial" w:hAnsi="Arial" w:cs="Arial"/>
              </w:rPr>
              <w:t>£25,000</w:t>
            </w:r>
          </w:p>
        </w:tc>
        <w:tc>
          <w:tcPr>
            <w:tcW w:w="3827" w:type="dxa"/>
            <w:shd w:val="clear" w:color="auto" w:fill="FFFFFF" w:themeFill="background1"/>
          </w:tcPr>
          <w:p w14:paraId="631AFEC2" w14:textId="50B0BC1C" w:rsidR="00096DF4" w:rsidRDefault="00891977" w:rsidP="00837DB3">
            <w:pPr>
              <w:pStyle w:val="NoSpacing"/>
              <w:rPr>
                <w:rFonts w:ascii="Arial" w:hAnsi="Arial" w:cs="Arial"/>
              </w:rPr>
            </w:pPr>
            <w:r>
              <w:rPr>
                <w:rFonts w:ascii="Arial" w:hAnsi="Arial" w:cs="Arial"/>
              </w:rPr>
              <w:t xml:space="preserve">Allocated. </w:t>
            </w:r>
            <w:r w:rsidR="00E76A32">
              <w:rPr>
                <w:rFonts w:ascii="Arial" w:hAnsi="Arial" w:cs="Arial"/>
              </w:rPr>
              <w:t xml:space="preserve">Materials </w:t>
            </w:r>
            <w:r w:rsidR="00F17E28">
              <w:rPr>
                <w:rFonts w:ascii="Arial" w:hAnsi="Arial" w:cs="Arial"/>
              </w:rPr>
              <w:t xml:space="preserve">/ web-data </w:t>
            </w:r>
            <w:r w:rsidR="00E76A32">
              <w:rPr>
                <w:rFonts w:ascii="Arial" w:hAnsi="Arial" w:cs="Arial"/>
              </w:rPr>
              <w:t xml:space="preserve">to be developed </w:t>
            </w:r>
            <w:r w:rsidR="00F17E28">
              <w:rPr>
                <w:rFonts w:ascii="Arial" w:hAnsi="Arial" w:cs="Arial"/>
              </w:rPr>
              <w:t xml:space="preserve">subject to the parallel progress with the </w:t>
            </w:r>
            <w:r w:rsidR="0027097E">
              <w:rPr>
                <w:rFonts w:ascii="Arial" w:hAnsi="Arial" w:cs="Arial"/>
              </w:rPr>
              <w:t>Vision and Pipeline project and</w:t>
            </w:r>
            <w:r w:rsidR="000A2096">
              <w:rPr>
                <w:rFonts w:ascii="Arial" w:hAnsi="Arial" w:cs="Arial"/>
              </w:rPr>
              <w:t xml:space="preserve"> embracing the new </w:t>
            </w:r>
            <w:r w:rsidR="00534A72">
              <w:rPr>
                <w:rFonts w:ascii="Arial" w:hAnsi="Arial" w:cs="Arial"/>
              </w:rPr>
              <w:t xml:space="preserve">brand adoption.  Anticipated </w:t>
            </w:r>
            <w:r w:rsidR="00D10D10">
              <w:rPr>
                <w:rFonts w:ascii="Arial" w:hAnsi="Arial" w:cs="Arial"/>
              </w:rPr>
              <w:t xml:space="preserve">commencement </w:t>
            </w:r>
            <w:r w:rsidR="00B9218C">
              <w:rPr>
                <w:rFonts w:ascii="Arial" w:hAnsi="Arial" w:cs="Arial"/>
              </w:rPr>
              <w:t xml:space="preserve">July 2025, </w:t>
            </w:r>
            <w:r w:rsidR="00B55A8B">
              <w:rPr>
                <w:rFonts w:ascii="Arial" w:hAnsi="Arial" w:cs="Arial"/>
              </w:rPr>
              <w:t>concluded</w:t>
            </w:r>
            <w:r w:rsidR="00F27810">
              <w:rPr>
                <w:rFonts w:ascii="Arial" w:hAnsi="Arial" w:cs="Arial"/>
              </w:rPr>
              <w:t xml:space="preserve"> </w:t>
            </w:r>
            <w:r w:rsidR="00B55A8B">
              <w:rPr>
                <w:rFonts w:ascii="Arial" w:hAnsi="Arial" w:cs="Arial"/>
              </w:rPr>
              <w:t>November 2025.</w:t>
            </w:r>
          </w:p>
        </w:tc>
      </w:tr>
      <w:tr w:rsidR="00E12A27" w:rsidRPr="00D63B3D" w14:paraId="7FE71C7D" w14:textId="77777777" w:rsidTr="00B70EA4">
        <w:tc>
          <w:tcPr>
            <w:tcW w:w="1696" w:type="dxa"/>
            <w:shd w:val="clear" w:color="auto" w:fill="FFFFFF" w:themeFill="background1"/>
          </w:tcPr>
          <w:p w14:paraId="075208E9" w14:textId="61831793" w:rsidR="00E12A27" w:rsidRDefault="00B7332D" w:rsidP="00837DB3">
            <w:pPr>
              <w:pStyle w:val="NoSpacing"/>
              <w:rPr>
                <w:rFonts w:ascii="Arial" w:hAnsi="Arial" w:cs="Arial"/>
              </w:rPr>
            </w:pPr>
            <w:r>
              <w:rPr>
                <w:rFonts w:ascii="Arial" w:hAnsi="Arial" w:cs="Arial"/>
              </w:rPr>
              <w:lastRenderedPageBreak/>
              <w:t>Visitor Economy Narrative</w:t>
            </w:r>
          </w:p>
        </w:tc>
        <w:tc>
          <w:tcPr>
            <w:tcW w:w="7088" w:type="dxa"/>
            <w:shd w:val="clear" w:color="auto" w:fill="FFFFFF" w:themeFill="background1"/>
          </w:tcPr>
          <w:p w14:paraId="007022E4" w14:textId="77777777" w:rsidR="00E12A27" w:rsidRDefault="0073323D" w:rsidP="00837DB3">
            <w:pPr>
              <w:pStyle w:val="NoSpacing"/>
              <w:rPr>
                <w:rFonts w:ascii="Arial" w:hAnsi="Arial" w:cs="Arial"/>
              </w:rPr>
            </w:pPr>
            <w:r>
              <w:rPr>
                <w:rFonts w:ascii="Arial" w:hAnsi="Arial" w:cs="Arial"/>
              </w:rPr>
              <w:t xml:space="preserve">A commission </w:t>
            </w:r>
            <w:r w:rsidR="00662952">
              <w:rPr>
                <w:rFonts w:ascii="Arial" w:hAnsi="Arial" w:cs="Arial"/>
              </w:rPr>
              <w:t xml:space="preserve">to set out Mansfield’s </w:t>
            </w:r>
            <w:r w:rsidR="00815160">
              <w:rPr>
                <w:rFonts w:ascii="Arial" w:hAnsi="Arial" w:cs="Arial"/>
              </w:rPr>
              <w:t xml:space="preserve">approach to the </w:t>
            </w:r>
            <w:r w:rsidR="00662952">
              <w:rPr>
                <w:rFonts w:ascii="Arial" w:hAnsi="Arial" w:cs="Arial"/>
              </w:rPr>
              <w:t>visitor economy</w:t>
            </w:r>
            <w:r w:rsidR="009856F6">
              <w:rPr>
                <w:rFonts w:ascii="Arial" w:hAnsi="Arial" w:cs="Arial"/>
              </w:rPr>
              <w:t xml:space="preserve">, linked to the inward investment </w:t>
            </w:r>
            <w:r w:rsidR="00921342">
              <w:rPr>
                <w:rFonts w:ascii="Arial" w:hAnsi="Arial" w:cs="Arial"/>
              </w:rPr>
              <w:t>playbook</w:t>
            </w:r>
            <w:r w:rsidR="00D1051C">
              <w:rPr>
                <w:rFonts w:ascii="Arial" w:hAnsi="Arial" w:cs="Arial"/>
              </w:rPr>
              <w:t xml:space="preserve"> and the Destination Mansfield </w:t>
            </w:r>
            <w:r w:rsidR="00F0093E">
              <w:rPr>
                <w:rFonts w:ascii="Arial" w:hAnsi="Arial" w:cs="Arial"/>
              </w:rPr>
              <w:t xml:space="preserve">approach.  The ambition will be to establish Mansfield’s unique offer </w:t>
            </w:r>
            <w:r w:rsidR="002A2CE5">
              <w:rPr>
                <w:rFonts w:ascii="Arial" w:hAnsi="Arial" w:cs="Arial"/>
              </w:rPr>
              <w:t>and how that might be develop</w:t>
            </w:r>
            <w:r w:rsidR="006E31FB">
              <w:rPr>
                <w:rFonts w:ascii="Arial" w:hAnsi="Arial" w:cs="Arial"/>
              </w:rPr>
              <w:t>ed</w:t>
            </w:r>
            <w:r w:rsidR="002A2CE5">
              <w:rPr>
                <w:rFonts w:ascii="Arial" w:hAnsi="Arial" w:cs="Arial"/>
              </w:rPr>
              <w:t xml:space="preserve"> and exploited in the context of </w:t>
            </w:r>
            <w:r w:rsidR="006E31FB">
              <w:rPr>
                <w:rFonts w:ascii="Arial" w:hAnsi="Arial" w:cs="Arial"/>
              </w:rPr>
              <w:t xml:space="preserve">a new regional offer within EMCCA. </w:t>
            </w:r>
            <w:r w:rsidR="002A2CE5">
              <w:rPr>
                <w:rFonts w:ascii="Arial" w:hAnsi="Arial" w:cs="Arial"/>
              </w:rPr>
              <w:t xml:space="preserve"> </w:t>
            </w:r>
          </w:p>
          <w:p w14:paraId="712C8A04" w14:textId="02437F4E" w:rsidR="00F322A2" w:rsidRDefault="00F322A2" w:rsidP="00837DB3">
            <w:pPr>
              <w:pStyle w:val="NoSpacing"/>
              <w:rPr>
                <w:rFonts w:ascii="Arial" w:hAnsi="Arial" w:cs="Arial"/>
              </w:rPr>
            </w:pPr>
          </w:p>
        </w:tc>
        <w:tc>
          <w:tcPr>
            <w:tcW w:w="1134" w:type="dxa"/>
            <w:shd w:val="clear" w:color="auto" w:fill="FFFFFF" w:themeFill="background1"/>
          </w:tcPr>
          <w:p w14:paraId="54B79E35" w14:textId="4B3739FA" w:rsidR="00E12A27" w:rsidRDefault="009856F6" w:rsidP="00837DB3">
            <w:pPr>
              <w:pStyle w:val="NoSpacing"/>
              <w:rPr>
                <w:rFonts w:ascii="Arial" w:hAnsi="Arial" w:cs="Arial"/>
              </w:rPr>
            </w:pPr>
            <w:r>
              <w:rPr>
                <w:rFonts w:ascii="Arial" w:hAnsi="Arial" w:cs="Arial"/>
              </w:rPr>
              <w:t>£25,000</w:t>
            </w:r>
          </w:p>
        </w:tc>
        <w:tc>
          <w:tcPr>
            <w:tcW w:w="3827" w:type="dxa"/>
            <w:shd w:val="clear" w:color="auto" w:fill="FFFFFF" w:themeFill="background1"/>
          </w:tcPr>
          <w:p w14:paraId="233D40AE" w14:textId="6BC5578C" w:rsidR="00E12A27" w:rsidRDefault="00891977" w:rsidP="00837DB3">
            <w:pPr>
              <w:pStyle w:val="NoSpacing"/>
              <w:rPr>
                <w:rFonts w:ascii="Arial" w:hAnsi="Arial" w:cs="Arial"/>
              </w:rPr>
            </w:pPr>
            <w:r>
              <w:rPr>
                <w:rFonts w:ascii="Arial" w:hAnsi="Arial" w:cs="Arial"/>
              </w:rPr>
              <w:t xml:space="preserve">Allocated.  </w:t>
            </w:r>
            <w:r w:rsidR="00326DD5">
              <w:rPr>
                <w:rFonts w:ascii="Arial" w:hAnsi="Arial" w:cs="Arial"/>
              </w:rPr>
              <w:t>Scope to be developed. Tying in with</w:t>
            </w:r>
            <w:r w:rsidR="00FA3DD3">
              <w:rPr>
                <w:rFonts w:ascii="Arial" w:hAnsi="Arial" w:cs="Arial"/>
              </w:rPr>
              <w:t xml:space="preserve"> Destination Mansfield </w:t>
            </w:r>
            <w:r w:rsidR="007D26A3">
              <w:rPr>
                <w:rFonts w:ascii="Arial" w:hAnsi="Arial" w:cs="Arial"/>
              </w:rPr>
              <w:t xml:space="preserve">and inward investment </w:t>
            </w:r>
            <w:r w:rsidR="00FA3DD3">
              <w:rPr>
                <w:rFonts w:ascii="Arial" w:hAnsi="Arial" w:cs="Arial"/>
              </w:rPr>
              <w:t>project</w:t>
            </w:r>
            <w:r w:rsidR="003C0947">
              <w:rPr>
                <w:rFonts w:ascii="Arial" w:hAnsi="Arial" w:cs="Arial"/>
              </w:rPr>
              <w:t>, a</w:t>
            </w:r>
            <w:r w:rsidR="00FA3DD3">
              <w:rPr>
                <w:rFonts w:ascii="Arial" w:hAnsi="Arial" w:cs="Arial"/>
              </w:rPr>
              <w:t>nticipated commencement July 2025, concluded November 2025.</w:t>
            </w:r>
            <w:r w:rsidR="00372B6A">
              <w:rPr>
                <w:rFonts w:ascii="Arial" w:hAnsi="Arial" w:cs="Arial"/>
              </w:rPr>
              <w:t xml:space="preserve">  </w:t>
            </w:r>
            <w:r w:rsidR="00572A82">
              <w:rPr>
                <w:rFonts w:ascii="Arial" w:hAnsi="Arial" w:cs="Arial"/>
              </w:rPr>
              <w:t xml:space="preserve"> </w:t>
            </w:r>
          </w:p>
        </w:tc>
      </w:tr>
      <w:tr w:rsidR="00E12A27" w:rsidRPr="00D63B3D" w14:paraId="47A49DC5" w14:textId="77777777" w:rsidTr="00B70EA4">
        <w:tc>
          <w:tcPr>
            <w:tcW w:w="1696" w:type="dxa"/>
            <w:shd w:val="clear" w:color="auto" w:fill="FFFFFF" w:themeFill="background1"/>
          </w:tcPr>
          <w:p w14:paraId="7A50C3EA" w14:textId="45F3F57A" w:rsidR="00E12A27" w:rsidRDefault="00B7332D" w:rsidP="00837DB3">
            <w:pPr>
              <w:pStyle w:val="NoSpacing"/>
              <w:rPr>
                <w:rFonts w:ascii="Arial" w:hAnsi="Arial" w:cs="Arial"/>
              </w:rPr>
            </w:pPr>
            <w:r>
              <w:rPr>
                <w:rFonts w:ascii="Arial" w:hAnsi="Arial" w:cs="Arial"/>
              </w:rPr>
              <w:t>Hote</w:t>
            </w:r>
            <w:r w:rsidR="007E2BCD">
              <w:rPr>
                <w:rFonts w:ascii="Arial" w:hAnsi="Arial" w:cs="Arial"/>
              </w:rPr>
              <w:t xml:space="preserve">l / Accommodation and Bed-space </w:t>
            </w:r>
            <w:r w:rsidR="00E712B8">
              <w:rPr>
                <w:rFonts w:ascii="Arial" w:hAnsi="Arial" w:cs="Arial"/>
              </w:rPr>
              <w:t>Review</w:t>
            </w:r>
          </w:p>
        </w:tc>
        <w:tc>
          <w:tcPr>
            <w:tcW w:w="7088" w:type="dxa"/>
            <w:shd w:val="clear" w:color="auto" w:fill="FFFFFF" w:themeFill="background1"/>
          </w:tcPr>
          <w:p w14:paraId="7642ECB6" w14:textId="7DF64EFB" w:rsidR="00AC1DC7" w:rsidRPr="006D7336" w:rsidRDefault="00CF26A6" w:rsidP="00AC1DC7">
            <w:pPr>
              <w:pStyle w:val="NoSpacing"/>
              <w:rPr>
                <w:rFonts w:ascii="Arial" w:hAnsi="Arial" w:cs="Arial"/>
              </w:rPr>
            </w:pPr>
            <w:r>
              <w:rPr>
                <w:rFonts w:ascii="Arial" w:hAnsi="Arial" w:cs="Arial"/>
              </w:rPr>
              <w:t xml:space="preserve">The </w:t>
            </w:r>
            <w:r w:rsidR="00FA1DAB">
              <w:rPr>
                <w:rFonts w:ascii="Arial" w:hAnsi="Arial" w:cs="Arial"/>
              </w:rPr>
              <w:t xml:space="preserve">review will focus on </w:t>
            </w:r>
            <w:r w:rsidR="00AC1DC7" w:rsidRPr="006D7336">
              <w:rPr>
                <w:rFonts w:ascii="Arial" w:hAnsi="Arial" w:cs="Arial"/>
              </w:rPr>
              <w:t xml:space="preserve">hotel / bed space approach that addresses the current viability challenges with </w:t>
            </w:r>
            <w:r w:rsidR="00FA1DAB">
              <w:rPr>
                <w:rFonts w:ascii="Arial" w:hAnsi="Arial" w:cs="Arial"/>
              </w:rPr>
              <w:t>hotel</w:t>
            </w:r>
            <w:r w:rsidR="00AC1DC7" w:rsidRPr="006D7336">
              <w:rPr>
                <w:rFonts w:ascii="Arial" w:hAnsi="Arial" w:cs="Arial"/>
              </w:rPr>
              <w:t xml:space="preserve"> scheme</w:t>
            </w:r>
            <w:r w:rsidR="00FA1DAB">
              <w:rPr>
                <w:rFonts w:ascii="Arial" w:hAnsi="Arial" w:cs="Arial"/>
              </w:rPr>
              <w:t>s</w:t>
            </w:r>
            <w:r w:rsidR="00AC1DC7" w:rsidRPr="006D7336">
              <w:rPr>
                <w:rFonts w:ascii="Arial" w:hAnsi="Arial" w:cs="Arial"/>
              </w:rPr>
              <w:t xml:space="preserve"> and </w:t>
            </w:r>
            <w:r w:rsidR="00FA1DAB">
              <w:rPr>
                <w:rFonts w:ascii="Arial" w:hAnsi="Arial" w:cs="Arial"/>
              </w:rPr>
              <w:t xml:space="preserve">support </w:t>
            </w:r>
            <w:r w:rsidR="00AC1DC7" w:rsidRPr="006D7336">
              <w:rPr>
                <w:rFonts w:ascii="Arial" w:hAnsi="Arial" w:cs="Arial"/>
              </w:rPr>
              <w:t xml:space="preserve">wider opportunities for Mansfield as </w:t>
            </w:r>
            <w:r w:rsidR="00FA1DAB">
              <w:rPr>
                <w:rFonts w:ascii="Arial" w:hAnsi="Arial" w:cs="Arial"/>
              </w:rPr>
              <w:t xml:space="preserve">a </w:t>
            </w:r>
            <w:r w:rsidR="00AC1DC7" w:rsidRPr="006D7336">
              <w:rPr>
                <w:rFonts w:ascii="Arial" w:hAnsi="Arial" w:cs="Arial"/>
              </w:rPr>
              <w:t>stay-over</w:t>
            </w:r>
            <w:r w:rsidR="00AC1DC7">
              <w:rPr>
                <w:rFonts w:ascii="Arial" w:hAnsi="Arial" w:cs="Arial"/>
              </w:rPr>
              <w:t xml:space="preserve"> location in </w:t>
            </w:r>
            <w:r w:rsidR="00FA1DAB">
              <w:rPr>
                <w:rFonts w:ascii="Arial" w:hAnsi="Arial" w:cs="Arial"/>
              </w:rPr>
              <w:t xml:space="preserve">a </w:t>
            </w:r>
            <w:r w:rsidR="00AC1DC7">
              <w:rPr>
                <w:rFonts w:ascii="Arial" w:hAnsi="Arial" w:cs="Arial"/>
              </w:rPr>
              <w:t xml:space="preserve">wider visitor economy context. </w:t>
            </w:r>
          </w:p>
          <w:p w14:paraId="71D3F71E" w14:textId="77777777" w:rsidR="00FA1DAB" w:rsidRDefault="00FA1DAB" w:rsidP="00CF26A6">
            <w:pPr>
              <w:pStyle w:val="NoSpacing"/>
              <w:rPr>
                <w:rFonts w:ascii="Arial" w:hAnsi="Arial" w:cs="Arial"/>
              </w:rPr>
            </w:pPr>
          </w:p>
          <w:p w14:paraId="73FF5784" w14:textId="71887C86" w:rsidR="006D7336" w:rsidRDefault="00FA1DAB" w:rsidP="006D7336">
            <w:pPr>
              <w:pStyle w:val="NoSpacing"/>
              <w:rPr>
                <w:rFonts w:ascii="Arial" w:hAnsi="Arial" w:cs="Arial"/>
              </w:rPr>
            </w:pPr>
            <w:r>
              <w:rPr>
                <w:rFonts w:ascii="Arial" w:hAnsi="Arial" w:cs="Arial"/>
              </w:rPr>
              <w:t xml:space="preserve">It will </w:t>
            </w:r>
            <w:r w:rsidR="00CF26A6">
              <w:rPr>
                <w:rFonts w:ascii="Arial" w:hAnsi="Arial" w:cs="Arial"/>
              </w:rPr>
              <w:t>s</w:t>
            </w:r>
            <w:r w:rsidR="00CF26A6" w:rsidRPr="00CF26A6">
              <w:rPr>
                <w:rFonts w:ascii="Arial" w:hAnsi="Arial" w:cs="Arial"/>
              </w:rPr>
              <w:t>how</w:t>
            </w:r>
            <w:r>
              <w:rPr>
                <w:rFonts w:ascii="Arial" w:hAnsi="Arial" w:cs="Arial"/>
              </w:rPr>
              <w:t>-</w:t>
            </w:r>
            <w:r w:rsidR="00CF26A6" w:rsidRPr="00CF26A6">
              <w:rPr>
                <w:rFonts w:ascii="Arial" w:hAnsi="Arial" w:cs="Arial"/>
              </w:rPr>
              <w:t>cas</w:t>
            </w:r>
            <w:r>
              <w:rPr>
                <w:rFonts w:ascii="Arial" w:hAnsi="Arial" w:cs="Arial"/>
              </w:rPr>
              <w:t>e</w:t>
            </w:r>
            <w:r w:rsidR="00CF26A6">
              <w:rPr>
                <w:rFonts w:ascii="Arial" w:hAnsi="Arial" w:cs="Arial"/>
              </w:rPr>
              <w:t xml:space="preserve"> Mansfield as a </w:t>
            </w:r>
            <w:r w:rsidR="00572C8E">
              <w:rPr>
                <w:rFonts w:ascii="Arial" w:hAnsi="Arial" w:cs="Arial"/>
              </w:rPr>
              <w:t xml:space="preserve">hotel </w:t>
            </w:r>
            <w:r w:rsidR="00CF26A6" w:rsidRPr="00CF26A6">
              <w:rPr>
                <w:rFonts w:ascii="Arial" w:hAnsi="Arial" w:cs="Arial"/>
              </w:rPr>
              <w:t xml:space="preserve">destination by producing </w:t>
            </w:r>
            <w:r w:rsidR="00572C8E">
              <w:rPr>
                <w:rFonts w:ascii="Arial" w:hAnsi="Arial" w:cs="Arial"/>
              </w:rPr>
              <w:t xml:space="preserve">a </w:t>
            </w:r>
            <w:r w:rsidR="00CF26A6" w:rsidRPr="00CF26A6">
              <w:rPr>
                <w:rFonts w:ascii="Arial" w:hAnsi="Arial" w:cs="Arial"/>
              </w:rPr>
              <w:t xml:space="preserve">hotel investment prospectus for use in approaching the principal hotel operating brands with a view to securing </w:t>
            </w:r>
            <w:r w:rsidR="00120357">
              <w:rPr>
                <w:rFonts w:ascii="Arial" w:hAnsi="Arial" w:cs="Arial"/>
              </w:rPr>
              <w:t xml:space="preserve">potential </w:t>
            </w:r>
            <w:r w:rsidR="00CF26A6" w:rsidRPr="00CF26A6">
              <w:rPr>
                <w:rFonts w:ascii="Arial" w:hAnsi="Arial" w:cs="Arial"/>
              </w:rPr>
              <w:t>delivery partner</w:t>
            </w:r>
            <w:r w:rsidR="00E509CC">
              <w:rPr>
                <w:rFonts w:ascii="Arial" w:hAnsi="Arial" w:cs="Arial"/>
              </w:rPr>
              <w:t>s, notably for the site at Stockwell Gate. It will also offer a</w:t>
            </w:r>
            <w:r w:rsidR="00CF26A6" w:rsidRPr="00CF26A6">
              <w:rPr>
                <w:rFonts w:ascii="Arial" w:hAnsi="Arial" w:cs="Arial"/>
              </w:rPr>
              <w:t xml:space="preserve">n overview of potential delivery models and interventions that have been used </w:t>
            </w:r>
            <w:r w:rsidR="00E509CC">
              <w:rPr>
                <w:rFonts w:ascii="Arial" w:hAnsi="Arial" w:cs="Arial"/>
              </w:rPr>
              <w:t xml:space="preserve">elsewhere </w:t>
            </w:r>
            <w:r w:rsidR="00CF26A6" w:rsidRPr="00CF26A6">
              <w:rPr>
                <w:rFonts w:ascii="Arial" w:hAnsi="Arial" w:cs="Arial"/>
              </w:rPr>
              <w:t>to overcome</w:t>
            </w:r>
            <w:r w:rsidR="00E509CC">
              <w:rPr>
                <w:rFonts w:ascii="Arial" w:hAnsi="Arial" w:cs="Arial"/>
              </w:rPr>
              <w:t xml:space="preserve"> </w:t>
            </w:r>
            <w:r w:rsidR="00CF26A6" w:rsidRPr="00CF26A6">
              <w:rPr>
                <w:rFonts w:ascii="Arial" w:hAnsi="Arial" w:cs="Arial"/>
              </w:rPr>
              <w:t>current funding</w:t>
            </w:r>
            <w:r w:rsidR="00E509CC">
              <w:rPr>
                <w:rFonts w:ascii="Arial" w:hAnsi="Arial" w:cs="Arial"/>
              </w:rPr>
              <w:t xml:space="preserve"> </w:t>
            </w:r>
            <w:r w:rsidR="00CF26A6" w:rsidRPr="00CF26A6">
              <w:rPr>
                <w:rFonts w:ascii="Arial" w:hAnsi="Arial" w:cs="Arial"/>
              </w:rPr>
              <w:t>/</w:t>
            </w:r>
            <w:r w:rsidR="00E509CC">
              <w:rPr>
                <w:rFonts w:ascii="Arial" w:hAnsi="Arial" w:cs="Arial"/>
              </w:rPr>
              <w:t xml:space="preserve"> </w:t>
            </w:r>
            <w:r w:rsidR="00CF26A6" w:rsidRPr="00CF26A6">
              <w:rPr>
                <w:rFonts w:ascii="Arial" w:hAnsi="Arial" w:cs="Arial"/>
              </w:rPr>
              <w:t>viability gap</w:t>
            </w:r>
            <w:r w:rsidR="00E509CC">
              <w:rPr>
                <w:rFonts w:ascii="Arial" w:hAnsi="Arial" w:cs="Arial"/>
              </w:rPr>
              <w:t>s</w:t>
            </w:r>
            <w:r w:rsidR="00CF26A6" w:rsidRPr="00CF26A6">
              <w:rPr>
                <w:rFonts w:ascii="Arial" w:hAnsi="Arial" w:cs="Arial"/>
              </w:rPr>
              <w:t xml:space="preserve"> in hotel development</w:t>
            </w:r>
          </w:p>
          <w:p w14:paraId="0778F3C1" w14:textId="77777777" w:rsidR="006D7336" w:rsidRDefault="006D7336" w:rsidP="00AC1DC7">
            <w:pPr>
              <w:pStyle w:val="NoSpacing"/>
              <w:rPr>
                <w:rFonts w:ascii="Arial" w:hAnsi="Arial" w:cs="Arial"/>
              </w:rPr>
            </w:pPr>
          </w:p>
        </w:tc>
        <w:tc>
          <w:tcPr>
            <w:tcW w:w="1134" w:type="dxa"/>
            <w:shd w:val="clear" w:color="auto" w:fill="FFFFFF" w:themeFill="background1"/>
          </w:tcPr>
          <w:p w14:paraId="462BDD73" w14:textId="39145565" w:rsidR="00E12A27" w:rsidRDefault="009C6072" w:rsidP="00837DB3">
            <w:pPr>
              <w:pStyle w:val="NoSpacing"/>
              <w:rPr>
                <w:rFonts w:ascii="Arial" w:hAnsi="Arial" w:cs="Arial"/>
              </w:rPr>
            </w:pPr>
            <w:r>
              <w:rPr>
                <w:rFonts w:ascii="Arial" w:hAnsi="Arial" w:cs="Arial"/>
              </w:rPr>
              <w:t>£10,000</w:t>
            </w:r>
          </w:p>
        </w:tc>
        <w:tc>
          <w:tcPr>
            <w:tcW w:w="3827" w:type="dxa"/>
            <w:shd w:val="clear" w:color="auto" w:fill="FFFFFF" w:themeFill="background1"/>
          </w:tcPr>
          <w:p w14:paraId="1BDB504F" w14:textId="4FB545B5" w:rsidR="00E12A27" w:rsidRDefault="00891977" w:rsidP="00837DB3">
            <w:pPr>
              <w:pStyle w:val="NoSpacing"/>
              <w:rPr>
                <w:rFonts w:ascii="Arial" w:hAnsi="Arial" w:cs="Arial"/>
              </w:rPr>
            </w:pPr>
            <w:r>
              <w:rPr>
                <w:rFonts w:ascii="Arial" w:hAnsi="Arial" w:cs="Arial"/>
              </w:rPr>
              <w:t xml:space="preserve">Committed. </w:t>
            </w:r>
            <w:r w:rsidR="009C6072">
              <w:rPr>
                <w:rFonts w:ascii="Arial" w:hAnsi="Arial" w:cs="Arial"/>
              </w:rPr>
              <w:t xml:space="preserve">Hotel Solutions commissioned.  </w:t>
            </w:r>
            <w:r w:rsidR="001E79AB">
              <w:rPr>
                <w:rFonts w:ascii="Arial" w:hAnsi="Arial" w:cs="Arial"/>
              </w:rPr>
              <w:t xml:space="preserve">Work to be </w:t>
            </w:r>
            <w:r w:rsidR="00430925">
              <w:rPr>
                <w:rFonts w:ascii="Arial" w:hAnsi="Arial" w:cs="Arial"/>
              </w:rPr>
              <w:t>concluded towards the end of July 2025.</w:t>
            </w:r>
          </w:p>
        </w:tc>
      </w:tr>
      <w:tr w:rsidR="00E12A27" w:rsidRPr="00D63B3D" w14:paraId="64EDAB77" w14:textId="77777777" w:rsidTr="00B70EA4">
        <w:tc>
          <w:tcPr>
            <w:tcW w:w="1696" w:type="dxa"/>
            <w:shd w:val="clear" w:color="auto" w:fill="FFFFFF" w:themeFill="background1"/>
          </w:tcPr>
          <w:p w14:paraId="5CBA482C" w14:textId="5F4D44E7" w:rsidR="00E12A27" w:rsidRDefault="00463075" w:rsidP="00837DB3">
            <w:pPr>
              <w:pStyle w:val="NoSpacing"/>
              <w:rPr>
                <w:rFonts w:ascii="Arial" w:hAnsi="Arial" w:cs="Arial"/>
              </w:rPr>
            </w:pPr>
            <w:r>
              <w:rPr>
                <w:rFonts w:ascii="Arial" w:hAnsi="Arial" w:cs="Arial"/>
              </w:rPr>
              <w:t xml:space="preserve">Developing the Mansfield </w:t>
            </w:r>
            <w:r w:rsidR="00037986">
              <w:rPr>
                <w:rFonts w:ascii="Arial" w:hAnsi="Arial" w:cs="Arial"/>
              </w:rPr>
              <w:t xml:space="preserve">Vision and </w:t>
            </w:r>
            <w:r>
              <w:rPr>
                <w:rFonts w:ascii="Arial" w:hAnsi="Arial" w:cs="Arial"/>
              </w:rPr>
              <w:t>Pipeline</w:t>
            </w:r>
          </w:p>
        </w:tc>
        <w:tc>
          <w:tcPr>
            <w:tcW w:w="7088" w:type="dxa"/>
            <w:shd w:val="clear" w:color="auto" w:fill="FFFFFF" w:themeFill="background1"/>
          </w:tcPr>
          <w:p w14:paraId="03013964" w14:textId="2D14714F" w:rsidR="00674EC2" w:rsidRPr="00463075" w:rsidRDefault="00037986" w:rsidP="00674EC2">
            <w:pPr>
              <w:pStyle w:val="NoSpacing"/>
              <w:rPr>
                <w:rFonts w:ascii="Arial" w:hAnsi="Arial" w:cs="Arial"/>
              </w:rPr>
            </w:pPr>
            <w:r>
              <w:rPr>
                <w:rFonts w:ascii="Arial" w:hAnsi="Arial" w:cs="Arial"/>
              </w:rPr>
              <w:t xml:space="preserve">A study and action plan to </w:t>
            </w:r>
            <w:r w:rsidR="00674EC2">
              <w:rPr>
                <w:rFonts w:ascii="Arial" w:hAnsi="Arial" w:cs="Arial"/>
              </w:rPr>
              <w:t xml:space="preserve">set out </w:t>
            </w:r>
            <w:r w:rsidR="00463075" w:rsidRPr="00463075">
              <w:rPr>
                <w:rFonts w:ascii="Arial" w:hAnsi="Arial" w:cs="Arial"/>
              </w:rPr>
              <w:t xml:space="preserve">investment </w:t>
            </w:r>
            <w:r w:rsidR="00674EC2">
              <w:rPr>
                <w:rFonts w:ascii="Arial" w:hAnsi="Arial" w:cs="Arial"/>
              </w:rPr>
              <w:t xml:space="preserve">priorities for the </w:t>
            </w:r>
            <w:r w:rsidR="00463075" w:rsidRPr="00463075">
              <w:rPr>
                <w:rFonts w:ascii="Arial" w:hAnsi="Arial" w:cs="Arial"/>
              </w:rPr>
              <w:t xml:space="preserve">Mansfield </w:t>
            </w:r>
            <w:r w:rsidR="00674EC2">
              <w:rPr>
                <w:rFonts w:ascii="Arial" w:hAnsi="Arial" w:cs="Arial"/>
              </w:rPr>
              <w:t>area, its key priorities</w:t>
            </w:r>
            <w:r w:rsidR="00546A08">
              <w:rPr>
                <w:rFonts w:ascii="Arial" w:hAnsi="Arial" w:cs="Arial"/>
              </w:rPr>
              <w:t xml:space="preserve"> and potential projects</w:t>
            </w:r>
            <w:r w:rsidR="00836EBA">
              <w:rPr>
                <w:rFonts w:ascii="Arial" w:hAnsi="Arial" w:cs="Arial"/>
              </w:rPr>
              <w:t>, to include:</w:t>
            </w:r>
            <w:r w:rsidR="00546A08">
              <w:rPr>
                <w:rFonts w:ascii="Arial" w:hAnsi="Arial" w:cs="Arial"/>
              </w:rPr>
              <w:t xml:space="preserve">  </w:t>
            </w:r>
          </w:p>
          <w:p w14:paraId="5918F909" w14:textId="77777777" w:rsidR="00EE4E56" w:rsidRPr="00EE4E56" w:rsidRDefault="00EE4E56" w:rsidP="00463075">
            <w:pPr>
              <w:pStyle w:val="NoSpacing"/>
              <w:rPr>
                <w:rFonts w:ascii="Arial" w:hAnsi="Arial" w:cs="Arial"/>
              </w:rPr>
            </w:pPr>
          </w:p>
          <w:p w14:paraId="15D2C476" w14:textId="7AB98E19" w:rsidR="00CB02B1" w:rsidRDefault="00EE4E56" w:rsidP="00463075">
            <w:pPr>
              <w:pStyle w:val="NoSpacing"/>
              <w:numPr>
                <w:ilvl w:val="0"/>
                <w:numId w:val="14"/>
              </w:numPr>
              <w:rPr>
                <w:rFonts w:ascii="Arial" w:hAnsi="Arial" w:cs="Arial"/>
              </w:rPr>
            </w:pPr>
            <w:r w:rsidRPr="00EE4E56">
              <w:rPr>
                <w:rFonts w:ascii="Arial" w:hAnsi="Arial" w:cs="Arial"/>
              </w:rPr>
              <w:t>Vision, strategy</w:t>
            </w:r>
            <w:r w:rsidR="000744D0">
              <w:rPr>
                <w:rFonts w:ascii="Arial" w:hAnsi="Arial" w:cs="Arial"/>
              </w:rPr>
              <w:t xml:space="preserve">, data </w:t>
            </w:r>
            <w:r w:rsidR="00A66FC3">
              <w:rPr>
                <w:rFonts w:ascii="Arial" w:hAnsi="Arial" w:cs="Arial"/>
              </w:rPr>
              <w:t xml:space="preserve">provision </w:t>
            </w:r>
            <w:r w:rsidRPr="00EE4E56">
              <w:rPr>
                <w:rFonts w:ascii="Arial" w:hAnsi="Arial" w:cs="Arial"/>
              </w:rPr>
              <w:t>and economic case development</w:t>
            </w:r>
          </w:p>
          <w:p w14:paraId="11E5CDCC" w14:textId="60283D44" w:rsidR="00CB02B1" w:rsidRDefault="00463075" w:rsidP="00463075">
            <w:pPr>
              <w:pStyle w:val="NoSpacing"/>
              <w:numPr>
                <w:ilvl w:val="0"/>
                <w:numId w:val="14"/>
              </w:numPr>
              <w:rPr>
                <w:rFonts w:ascii="Arial" w:hAnsi="Arial" w:cs="Arial"/>
              </w:rPr>
            </w:pPr>
            <w:r w:rsidRPr="00463075">
              <w:rPr>
                <w:rFonts w:ascii="Arial" w:hAnsi="Arial" w:cs="Arial"/>
              </w:rPr>
              <w:t>Establish</w:t>
            </w:r>
            <w:r w:rsidR="00CB02B1">
              <w:rPr>
                <w:rFonts w:ascii="Arial" w:hAnsi="Arial" w:cs="Arial"/>
              </w:rPr>
              <w:t xml:space="preserve">ing </w:t>
            </w:r>
            <w:r w:rsidRPr="00463075">
              <w:rPr>
                <w:rFonts w:ascii="Arial" w:hAnsi="Arial" w:cs="Arial"/>
              </w:rPr>
              <w:t>the route to deliver</w:t>
            </w:r>
            <w:r w:rsidR="00CB02B1">
              <w:rPr>
                <w:rFonts w:ascii="Arial" w:hAnsi="Arial" w:cs="Arial"/>
              </w:rPr>
              <w:t xml:space="preserve">y and </w:t>
            </w:r>
            <w:r w:rsidRPr="00463075">
              <w:rPr>
                <w:rFonts w:ascii="Arial" w:hAnsi="Arial" w:cs="Arial"/>
              </w:rPr>
              <w:t xml:space="preserve">understanding </w:t>
            </w:r>
            <w:r w:rsidR="00A66FC3">
              <w:rPr>
                <w:rFonts w:ascii="Arial" w:hAnsi="Arial" w:cs="Arial"/>
              </w:rPr>
              <w:t xml:space="preserve">key </w:t>
            </w:r>
            <w:r w:rsidRPr="00463075">
              <w:rPr>
                <w:rFonts w:ascii="Arial" w:hAnsi="Arial" w:cs="Arial"/>
              </w:rPr>
              <w:t>site capacity and risks</w:t>
            </w:r>
            <w:r w:rsidR="00CB02B1">
              <w:rPr>
                <w:rFonts w:ascii="Arial" w:hAnsi="Arial" w:cs="Arial"/>
              </w:rPr>
              <w:t xml:space="preserve">, </w:t>
            </w:r>
            <w:r w:rsidRPr="00463075">
              <w:rPr>
                <w:rFonts w:ascii="Arial" w:hAnsi="Arial" w:cs="Arial"/>
              </w:rPr>
              <w:t>the market-facing</w:t>
            </w:r>
            <w:r w:rsidR="00CB02B1">
              <w:rPr>
                <w:rFonts w:ascii="Arial" w:hAnsi="Arial" w:cs="Arial"/>
              </w:rPr>
              <w:t xml:space="preserve"> </w:t>
            </w:r>
            <w:r w:rsidRPr="00463075">
              <w:rPr>
                <w:rFonts w:ascii="Arial" w:hAnsi="Arial" w:cs="Arial"/>
              </w:rPr>
              <w:t>opportunit</w:t>
            </w:r>
            <w:r w:rsidR="00A66FC3">
              <w:rPr>
                <w:rFonts w:ascii="Arial" w:hAnsi="Arial" w:cs="Arial"/>
              </w:rPr>
              <w:t>ies</w:t>
            </w:r>
            <w:r w:rsidRPr="00463075">
              <w:rPr>
                <w:rFonts w:ascii="Arial" w:hAnsi="Arial" w:cs="Arial"/>
              </w:rPr>
              <w:t xml:space="preserve"> and best routes to delivery</w:t>
            </w:r>
          </w:p>
          <w:p w14:paraId="20EC31EC" w14:textId="77777777" w:rsidR="00B503E2" w:rsidRDefault="00463075" w:rsidP="00463075">
            <w:pPr>
              <w:pStyle w:val="NoSpacing"/>
              <w:numPr>
                <w:ilvl w:val="0"/>
                <w:numId w:val="14"/>
              </w:numPr>
              <w:rPr>
                <w:rFonts w:ascii="Arial" w:hAnsi="Arial" w:cs="Arial"/>
              </w:rPr>
            </w:pPr>
            <w:r w:rsidRPr="00463075">
              <w:rPr>
                <w:rFonts w:ascii="Arial" w:hAnsi="Arial" w:cs="Arial"/>
              </w:rPr>
              <w:t>Identify</w:t>
            </w:r>
            <w:r w:rsidR="00CB02B1">
              <w:rPr>
                <w:rFonts w:ascii="Arial" w:hAnsi="Arial" w:cs="Arial"/>
              </w:rPr>
              <w:t>ing</w:t>
            </w:r>
            <w:r w:rsidRPr="00463075">
              <w:rPr>
                <w:rFonts w:ascii="Arial" w:hAnsi="Arial" w:cs="Arial"/>
              </w:rPr>
              <w:t xml:space="preserve"> the funding ‘ask</w:t>
            </w:r>
            <w:r w:rsidR="00CB02B1">
              <w:rPr>
                <w:rFonts w:ascii="Arial" w:hAnsi="Arial" w:cs="Arial"/>
              </w:rPr>
              <w:t>s</w:t>
            </w:r>
            <w:r w:rsidRPr="00463075">
              <w:rPr>
                <w:rFonts w:ascii="Arial" w:hAnsi="Arial" w:cs="Arial"/>
              </w:rPr>
              <w:t>’</w:t>
            </w:r>
            <w:r w:rsidR="005229A0">
              <w:rPr>
                <w:rFonts w:ascii="Arial" w:hAnsi="Arial" w:cs="Arial"/>
              </w:rPr>
              <w:t>,</w:t>
            </w:r>
            <w:r w:rsidR="00CB02B1">
              <w:rPr>
                <w:rFonts w:ascii="Arial" w:hAnsi="Arial" w:cs="Arial"/>
              </w:rPr>
              <w:t xml:space="preserve"> v</w:t>
            </w:r>
            <w:r w:rsidRPr="00463075">
              <w:rPr>
                <w:rFonts w:ascii="Arial" w:hAnsi="Arial" w:cs="Arial"/>
              </w:rPr>
              <w:t>iability</w:t>
            </w:r>
            <w:r w:rsidR="00CB02B1">
              <w:rPr>
                <w:rFonts w:ascii="Arial" w:hAnsi="Arial" w:cs="Arial"/>
              </w:rPr>
              <w:t xml:space="preserve"> </w:t>
            </w:r>
            <w:r w:rsidR="005229A0">
              <w:rPr>
                <w:rFonts w:ascii="Arial" w:hAnsi="Arial" w:cs="Arial"/>
              </w:rPr>
              <w:t xml:space="preserve">issues </w:t>
            </w:r>
            <w:r w:rsidR="00CB02B1">
              <w:rPr>
                <w:rFonts w:ascii="Arial" w:hAnsi="Arial" w:cs="Arial"/>
              </w:rPr>
              <w:t xml:space="preserve">and </w:t>
            </w:r>
            <w:r w:rsidR="005229A0">
              <w:rPr>
                <w:rFonts w:ascii="Arial" w:hAnsi="Arial" w:cs="Arial"/>
              </w:rPr>
              <w:t xml:space="preserve">the approach to market </w:t>
            </w:r>
            <w:r w:rsidR="00D046F9">
              <w:rPr>
                <w:rFonts w:ascii="Arial" w:hAnsi="Arial" w:cs="Arial"/>
              </w:rPr>
              <w:t>via a delivery plan to engage with core funders.</w:t>
            </w:r>
          </w:p>
          <w:p w14:paraId="67882596" w14:textId="77777777" w:rsidR="00B503E2" w:rsidRDefault="00B503E2" w:rsidP="00B503E2">
            <w:pPr>
              <w:pStyle w:val="NoSpacing"/>
              <w:rPr>
                <w:rFonts w:ascii="Arial" w:hAnsi="Arial" w:cs="Arial"/>
              </w:rPr>
            </w:pPr>
          </w:p>
          <w:p w14:paraId="404A35D6" w14:textId="2D1C26A4" w:rsidR="00463075" w:rsidRPr="00463075" w:rsidRDefault="00B503E2" w:rsidP="00B503E2">
            <w:pPr>
              <w:pStyle w:val="NoSpacing"/>
              <w:rPr>
                <w:rFonts w:ascii="Arial" w:hAnsi="Arial" w:cs="Arial"/>
              </w:rPr>
            </w:pPr>
            <w:r>
              <w:rPr>
                <w:rFonts w:ascii="Arial" w:hAnsi="Arial" w:cs="Arial"/>
              </w:rPr>
              <w:t xml:space="preserve">This Vision will be aligned </w:t>
            </w:r>
            <w:r w:rsidR="00FD654B">
              <w:rPr>
                <w:rFonts w:ascii="Arial" w:hAnsi="Arial" w:cs="Arial"/>
              </w:rPr>
              <w:t xml:space="preserve">with </w:t>
            </w:r>
            <w:r>
              <w:rPr>
                <w:rFonts w:ascii="Arial" w:hAnsi="Arial" w:cs="Arial"/>
              </w:rPr>
              <w:t>the Destination Mansfield work as well as being integrated with t</w:t>
            </w:r>
            <w:r w:rsidR="00FD654B">
              <w:rPr>
                <w:rFonts w:ascii="Arial" w:hAnsi="Arial" w:cs="Arial"/>
              </w:rPr>
              <w:t>he</w:t>
            </w:r>
            <w:r>
              <w:rPr>
                <w:rFonts w:ascii="Arial" w:hAnsi="Arial" w:cs="Arial"/>
              </w:rPr>
              <w:t xml:space="preserve"> </w:t>
            </w:r>
            <w:r w:rsidR="00FD654B">
              <w:rPr>
                <w:rFonts w:ascii="Arial" w:hAnsi="Arial" w:cs="Arial"/>
              </w:rPr>
              <w:t xml:space="preserve">preparations </w:t>
            </w:r>
            <w:r w:rsidR="005D4C90">
              <w:rPr>
                <w:rFonts w:ascii="Arial" w:hAnsi="Arial" w:cs="Arial"/>
              </w:rPr>
              <w:t xml:space="preserve">for the revised </w:t>
            </w:r>
            <w:r>
              <w:rPr>
                <w:rFonts w:ascii="Arial" w:hAnsi="Arial" w:cs="Arial"/>
              </w:rPr>
              <w:t>Local Plan</w:t>
            </w:r>
            <w:r w:rsidR="00D046F9">
              <w:rPr>
                <w:rFonts w:ascii="Arial" w:hAnsi="Arial" w:cs="Arial"/>
              </w:rPr>
              <w:t xml:space="preserve"> </w:t>
            </w:r>
          </w:p>
          <w:p w14:paraId="716FAE0D" w14:textId="22617BC9" w:rsidR="00E12A27" w:rsidRDefault="00E12A27" w:rsidP="00463075">
            <w:pPr>
              <w:pStyle w:val="NoSpacing"/>
              <w:rPr>
                <w:rFonts w:ascii="Arial" w:hAnsi="Arial" w:cs="Arial"/>
              </w:rPr>
            </w:pPr>
          </w:p>
        </w:tc>
        <w:tc>
          <w:tcPr>
            <w:tcW w:w="1134" w:type="dxa"/>
            <w:shd w:val="clear" w:color="auto" w:fill="FFFFFF" w:themeFill="background1"/>
          </w:tcPr>
          <w:p w14:paraId="64752268" w14:textId="1746BF7C" w:rsidR="00E12A27" w:rsidRDefault="00FD6982" w:rsidP="00837DB3">
            <w:pPr>
              <w:pStyle w:val="NoSpacing"/>
              <w:rPr>
                <w:rFonts w:ascii="Arial" w:hAnsi="Arial" w:cs="Arial"/>
              </w:rPr>
            </w:pPr>
            <w:r>
              <w:rPr>
                <w:rFonts w:ascii="Arial" w:hAnsi="Arial" w:cs="Arial"/>
              </w:rPr>
              <w:t>£</w:t>
            </w:r>
            <w:r w:rsidR="00501222">
              <w:rPr>
                <w:rFonts w:ascii="Arial" w:hAnsi="Arial" w:cs="Arial"/>
              </w:rPr>
              <w:t>100</w:t>
            </w:r>
            <w:r>
              <w:rPr>
                <w:rFonts w:ascii="Arial" w:hAnsi="Arial" w:cs="Arial"/>
              </w:rPr>
              <w:t>,000</w:t>
            </w:r>
          </w:p>
        </w:tc>
        <w:tc>
          <w:tcPr>
            <w:tcW w:w="3827" w:type="dxa"/>
            <w:shd w:val="clear" w:color="auto" w:fill="FFFFFF" w:themeFill="background1"/>
          </w:tcPr>
          <w:p w14:paraId="7CB5C904" w14:textId="510CBC0A" w:rsidR="004B4212" w:rsidRDefault="00057F83" w:rsidP="00837DB3">
            <w:pPr>
              <w:pStyle w:val="NoSpacing"/>
              <w:rPr>
                <w:rFonts w:ascii="Arial" w:hAnsi="Arial" w:cs="Arial"/>
              </w:rPr>
            </w:pPr>
            <w:r>
              <w:rPr>
                <w:rFonts w:ascii="Arial" w:hAnsi="Arial" w:cs="Arial"/>
              </w:rPr>
              <w:t xml:space="preserve">Committed. </w:t>
            </w:r>
            <w:r w:rsidR="00FD6982">
              <w:rPr>
                <w:rFonts w:ascii="Arial" w:hAnsi="Arial" w:cs="Arial"/>
              </w:rPr>
              <w:t>Draft</w:t>
            </w:r>
            <w:r w:rsidR="00463075">
              <w:rPr>
                <w:rFonts w:ascii="Arial" w:hAnsi="Arial" w:cs="Arial"/>
              </w:rPr>
              <w:t xml:space="preserve"> scope </w:t>
            </w:r>
            <w:r w:rsidR="00FD6982">
              <w:rPr>
                <w:rFonts w:ascii="Arial" w:hAnsi="Arial" w:cs="Arial"/>
              </w:rPr>
              <w:t xml:space="preserve">concluded.  </w:t>
            </w:r>
            <w:r w:rsidR="00546A08">
              <w:rPr>
                <w:rFonts w:ascii="Arial" w:hAnsi="Arial" w:cs="Arial"/>
              </w:rPr>
              <w:t xml:space="preserve">Soft market testing undertaken on likely value of </w:t>
            </w:r>
            <w:r w:rsidR="00694B6E">
              <w:rPr>
                <w:rFonts w:ascii="Arial" w:hAnsi="Arial" w:cs="Arial"/>
              </w:rPr>
              <w:t>the commission</w:t>
            </w:r>
            <w:r w:rsidR="00546A08">
              <w:rPr>
                <w:rFonts w:ascii="Arial" w:hAnsi="Arial" w:cs="Arial"/>
              </w:rPr>
              <w:t xml:space="preserve">.  </w:t>
            </w:r>
            <w:r w:rsidR="004B4212">
              <w:rPr>
                <w:rFonts w:ascii="Arial" w:hAnsi="Arial" w:cs="Arial"/>
              </w:rPr>
              <w:t xml:space="preserve">Subject to </w:t>
            </w:r>
            <w:r w:rsidR="00D046F9">
              <w:rPr>
                <w:rFonts w:ascii="Arial" w:hAnsi="Arial" w:cs="Arial"/>
              </w:rPr>
              <w:t xml:space="preserve">contract, </w:t>
            </w:r>
            <w:r w:rsidR="000744D0">
              <w:rPr>
                <w:rFonts w:ascii="Arial" w:hAnsi="Arial" w:cs="Arial"/>
              </w:rPr>
              <w:t>completion</w:t>
            </w:r>
            <w:r w:rsidR="00D046F9">
              <w:rPr>
                <w:rFonts w:ascii="Arial" w:hAnsi="Arial" w:cs="Arial"/>
              </w:rPr>
              <w:t xml:space="preserve"> </w:t>
            </w:r>
            <w:r w:rsidR="000744D0">
              <w:rPr>
                <w:rFonts w:ascii="Arial" w:hAnsi="Arial" w:cs="Arial"/>
              </w:rPr>
              <w:t xml:space="preserve">by </w:t>
            </w:r>
            <w:r w:rsidR="00B55A8B">
              <w:rPr>
                <w:rFonts w:ascii="Arial" w:hAnsi="Arial" w:cs="Arial"/>
              </w:rPr>
              <w:t xml:space="preserve">end </w:t>
            </w:r>
            <w:r w:rsidR="000744D0">
              <w:rPr>
                <w:rFonts w:ascii="Arial" w:hAnsi="Arial" w:cs="Arial"/>
              </w:rPr>
              <w:t>November 2025.</w:t>
            </w:r>
          </w:p>
        </w:tc>
      </w:tr>
    </w:tbl>
    <w:p w14:paraId="382587CF" w14:textId="746B8799" w:rsidR="005A78EC" w:rsidRDefault="005A78EC" w:rsidP="00F73806">
      <w:pPr>
        <w:rPr>
          <w:rFonts w:ascii="Arial" w:hAnsi="Arial" w:cs="Arial"/>
          <w:sz w:val="24"/>
          <w:szCs w:val="24"/>
        </w:rPr>
      </w:pPr>
    </w:p>
    <w:p w14:paraId="4489AB72" w14:textId="77777777" w:rsidR="00030FE0" w:rsidRDefault="00030FE0" w:rsidP="00030FE0">
      <w:pPr>
        <w:pStyle w:val="NoSpacing"/>
        <w:rPr>
          <w:rFonts w:ascii="Arial" w:hAnsi="Arial" w:cs="Arial"/>
          <w:b/>
          <w:bCs/>
          <w:sz w:val="24"/>
          <w:szCs w:val="24"/>
        </w:rPr>
      </w:pPr>
    </w:p>
    <w:p w14:paraId="71618747" w14:textId="77777777" w:rsidR="00030FE0" w:rsidRDefault="00030FE0" w:rsidP="00030FE0">
      <w:pPr>
        <w:pStyle w:val="NoSpacing"/>
        <w:rPr>
          <w:rFonts w:ascii="Arial" w:hAnsi="Arial" w:cs="Arial"/>
          <w:b/>
          <w:bCs/>
          <w:sz w:val="24"/>
          <w:szCs w:val="24"/>
        </w:rPr>
      </w:pPr>
    </w:p>
    <w:p w14:paraId="76B556EF" w14:textId="77777777" w:rsidR="0001287B" w:rsidRDefault="0001287B" w:rsidP="00030FE0">
      <w:pPr>
        <w:pStyle w:val="NoSpacing"/>
        <w:rPr>
          <w:rFonts w:ascii="Arial" w:hAnsi="Arial" w:cs="Arial"/>
          <w:b/>
          <w:bCs/>
          <w:sz w:val="24"/>
          <w:szCs w:val="24"/>
        </w:rPr>
      </w:pPr>
    </w:p>
    <w:p w14:paraId="7C404D26" w14:textId="1F756BCD" w:rsidR="00030FE0" w:rsidRPr="0010150F" w:rsidRDefault="00030FE0" w:rsidP="00030FE0">
      <w:pPr>
        <w:pStyle w:val="NoSpacing"/>
        <w:rPr>
          <w:rFonts w:ascii="Arial" w:hAnsi="Arial" w:cs="Arial"/>
          <w:b/>
          <w:bCs/>
          <w:sz w:val="24"/>
          <w:szCs w:val="24"/>
        </w:rPr>
      </w:pPr>
      <w:r>
        <w:rPr>
          <w:rFonts w:ascii="Arial" w:hAnsi="Arial" w:cs="Arial"/>
          <w:b/>
          <w:bCs/>
          <w:sz w:val="24"/>
          <w:szCs w:val="24"/>
        </w:rPr>
        <w:lastRenderedPageBreak/>
        <w:t xml:space="preserve">Appendix 2 - </w:t>
      </w:r>
      <w:r w:rsidRPr="0010150F">
        <w:rPr>
          <w:rFonts w:ascii="Arial" w:hAnsi="Arial" w:cs="Arial"/>
          <w:b/>
          <w:bCs/>
          <w:sz w:val="24"/>
          <w:szCs w:val="24"/>
        </w:rPr>
        <w:t>Financial Summary - Capital Schemes</w:t>
      </w:r>
    </w:p>
    <w:p w14:paraId="49DCB3C6" w14:textId="77777777" w:rsidR="00030FE0" w:rsidRPr="0010150F" w:rsidRDefault="00030FE0" w:rsidP="00030FE0">
      <w:pPr>
        <w:pStyle w:val="NoSpacing"/>
        <w:rPr>
          <w:rFonts w:ascii="Arial" w:hAnsi="Arial" w:cs="Arial"/>
        </w:rPr>
      </w:pPr>
    </w:p>
    <w:tbl>
      <w:tblPr>
        <w:tblStyle w:val="TableGrid"/>
        <w:tblW w:w="0" w:type="auto"/>
        <w:tblLook w:val="04A0" w:firstRow="1" w:lastRow="0" w:firstColumn="1" w:lastColumn="0" w:noHBand="0" w:noVBand="1"/>
      </w:tblPr>
      <w:tblGrid>
        <w:gridCol w:w="2134"/>
        <w:gridCol w:w="2672"/>
        <w:gridCol w:w="1439"/>
        <w:gridCol w:w="2404"/>
        <w:gridCol w:w="1965"/>
        <w:gridCol w:w="1856"/>
        <w:gridCol w:w="1478"/>
      </w:tblGrid>
      <w:tr w:rsidR="00030FE0" w:rsidRPr="0010150F" w14:paraId="00200261" w14:textId="77777777" w:rsidTr="00EC0D42">
        <w:tc>
          <w:tcPr>
            <w:tcW w:w="2137" w:type="dxa"/>
            <w:shd w:val="clear" w:color="auto" w:fill="F2F2F2" w:themeFill="background1" w:themeFillShade="F2"/>
          </w:tcPr>
          <w:p w14:paraId="32E98E45" w14:textId="77777777" w:rsidR="00030FE0" w:rsidRPr="0010150F" w:rsidRDefault="00030FE0" w:rsidP="00EC0D42">
            <w:pPr>
              <w:pStyle w:val="NoSpacing"/>
              <w:rPr>
                <w:rFonts w:ascii="Arial" w:hAnsi="Arial" w:cs="Arial"/>
                <w:b/>
                <w:bCs/>
              </w:rPr>
            </w:pPr>
            <w:r w:rsidRPr="0010150F">
              <w:rPr>
                <w:rFonts w:ascii="Arial" w:hAnsi="Arial" w:cs="Arial"/>
                <w:b/>
                <w:bCs/>
              </w:rPr>
              <w:t>Project</w:t>
            </w:r>
            <w:r w:rsidRPr="0010150F">
              <w:rPr>
                <w:rStyle w:val="FootnoteReference"/>
                <w:rFonts w:ascii="Arial" w:hAnsi="Arial" w:cs="Arial"/>
                <w:b/>
                <w:bCs/>
              </w:rPr>
              <w:footnoteReference w:id="1"/>
            </w:r>
          </w:p>
          <w:p w14:paraId="4503B0A7" w14:textId="77777777" w:rsidR="00030FE0" w:rsidRPr="0010150F" w:rsidRDefault="00030FE0" w:rsidP="00EC0D42">
            <w:pPr>
              <w:pStyle w:val="NoSpacing"/>
              <w:rPr>
                <w:rFonts w:ascii="Arial" w:hAnsi="Arial" w:cs="Arial"/>
                <w:b/>
                <w:bCs/>
              </w:rPr>
            </w:pPr>
          </w:p>
        </w:tc>
        <w:tc>
          <w:tcPr>
            <w:tcW w:w="2678" w:type="dxa"/>
            <w:shd w:val="clear" w:color="auto" w:fill="F2F2F2" w:themeFill="background1" w:themeFillShade="F2"/>
          </w:tcPr>
          <w:p w14:paraId="399CCA5D" w14:textId="77777777" w:rsidR="00030FE0" w:rsidRPr="0010150F" w:rsidRDefault="00030FE0" w:rsidP="00EC0D42">
            <w:pPr>
              <w:pStyle w:val="NoSpacing"/>
              <w:rPr>
                <w:rFonts w:ascii="Arial" w:hAnsi="Arial" w:cs="Arial"/>
                <w:b/>
                <w:bCs/>
              </w:rPr>
            </w:pPr>
            <w:r w:rsidRPr="0010150F">
              <w:rPr>
                <w:rFonts w:ascii="Arial" w:hAnsi="Arial" w:cs="Arial"/>
                <w:b/>
                <w:bCs/>
              </w:rPr>
              <w:t>Status / Notes</w:t>
            </w:r>
          </w:p>
        </w:tc>
        <w:tc>
          <w:tcPr>
            <w:tcW w:w="1417" w:type="dxa"/>
            <w:shd w:val="clear" w:color="auto" w:fill="F2F2F2" w:themeFill="background1" w:themeFillShade="F2"/>
          </w:tcPr>
          <w:p w14:paraId="4F0C2781" w14:textId="77777777" w:rsidR="00030FE0" w:rsidRPr="0010150F" w:rsidRDefault="00030FE0" w:rsidP="00EC0D42">
            <w:pPr>
              <w:pStyle w:val="NoSpacing"/>
              <w:rPr>
                <w:rFonts w:ascii="Arial" w:hAnsi="Arial" w:cs="Arial"/>
                <w:b/>
                <w:bCs/>
              </w:rPr>
            </w:pPr>
            <w:r w:rsidRPr="0010150F">
              <w:rPr>
                <w:rFonts w:ascii="Arial" w:hAnsi="Arial" w:cs="Arial"/>
                <w:b/>
                <w:bCs/>
              </w:rPr>
              <w:t>Programme</w:t>
            </w:r>
          </w:p>
        </w:tc>
        <w:tc>
          <w:tcPr>
            <w:tcW w:w="2410" w:type="dxa"/>
            <w:shd w:val="clear" w:color="auto" w:fill="F2F2F2" w:themeFill="background1" w:themeFillShade="F2"/>
          </w:tcPr>
          <w:p w14:paraId="205451E9" w14:textId="77777777" w:rsidR="00030FE0" w:rsidRPr="0010150F" w:rsidRDefault="00030FE0" w:rsidP="00EC0D42">
            <w:pPr>
              <w:pStyle w:val="NoSpacing"/>
              <w:rPr>
                <w:rFonts w:ascii="Arial" w:hAnsi="Arial" w:cs="Arial"/>
                <w:b/>
                <w:bCs/>
              </w:rPr>
            </w:pPr>
            <w:r w:rsidRPr="0010150F">
              <w:rPr>
                <w:rFonts w:ascii="Arial" w:hAnsi="Arial" w:cs="Arial"/>
                <w:b/>
                <w:bCs/>
              </w:rPr>
              <w:t>External Funding</w:t>
            </w:r>
          </w:p>
          <w:p w14:paraId="5DD72D83" w14:textId="77777777" w:rsidR="00030FE0" w:rsidRPr="0010150F" w:rsidRDefault="00030FE0" w:rsidP="00EC0D42">
            <w:pPr>
              <w:pStyle w:val="NoSpacing"/>
              <w:rPr>
                <w:rFonts w:ascii="Arial" w:hAnsi="Arial" w:cs="Arial"/>
                <w:b/>
                <w:bCs/>
              </w:rPr>
            </w:pPr>
          </w:p>
        </w:tc>
        <w:tc>
          <w:tcPr>
            <w:tcW w:w="1968" w:type="dxa"/>
            <w:shd w:val="clear" w:color="auto" w:fill="F2F2F2" w:themeFill="background1" w:themeFillShade="F2"/>
          </w:tcPr>
          <w:p w14:paraId="22F9DA93" w14:textId="77777777" w:rsidR="00030FE0" w:rsidRPr="0010150F" w:rsidRDefault="00030FE0" w:rsidP="00EC0D42">
            <w:pPr>
              <w:pStyle w:val="NoSpacing"/>
              <w:rPr>
                <w:rFonts w:ascii="Arial" w:hAnsi="Arial" w:cs="Arial"/>
                <w:b/>
                <w:bCs/>
              </w:rPr>
            </w:pPr>
            <w:r w:rsidRPr="0010150F">
              <w:rPr>
                <w:rFonts w:ascii="Arial" w:hAnsi="Arial" w:cs="Arial"/>
                <w:b/>
                <w:bCs/>
              </w:rPr>
              <w:t>Budget</w:t>
            </w:r>
          </w:p>
        </w:tc>
        <w:tc>
          <w:tcPr>
            <w:tcW w:w="1859" w:type="dxa"/>
            <w:shd w:val="clear" w:color="auto" w:fill="F2F2F2" w:themeFill="background1" w:themeFillShade="F2"/>
          </w:tcPr>
          <w:p w14:paraId="66430707" w14:textId="77777777" w:rsidR="00030FE0" w:rsidRPr="0010150F" w:rsidRDefault="00030FE0" w:rsidP="00EC0D42">
            <w:pPr>
              <w:pStyle w:val="NoSpacing"/>
              <w:rPr>
                <w:rFonts w:ascii="Arial" w:hAnsi="Arial" w:cs="Arial"/>
                <w:b/>
                <w:bCs/>
              </w:rPr>
            </w:pPr>
            <w:r w:rsidRPr="0010150F">
              <w:rPr>
                <w:rFonts w:ascii="Arial" w:hAnsi="Arial" w:cs="Arial"/>
                <w:b/>
                <w:bCs/>
              </w:rPr>
              <w:t>Forecast</w:t>
            </w:r>
          </w:p>
        </w:tc>
        <w:tc>
          <w:tcPr>
            <w:tcW w:w="1479" w:type="dxa"/>
            <w:shd w:val="clear" w:color="auto" w:fill="F2F2F2" w:themeFill="background1" w:themeFillShade="F2"/>
          </w:tcPr>
          <w:p w14:paraId="34717847" w14:textId="77777777" w:rsidR="00030FE0" w:rsidRPr="0010150F" w:rsidRDefault="00030FE0" w:rsidP="00EC0D42">
            <w:pPr>
              <w:pStyle w:val="NoSpacing"/>
              <w:rPr>
                <w:rFonts w:ascii="Arial" w:hAnsi="Arial" w:cs="Arial"/>
                <w:b/>
                <w:bCs/>
              </w:rPr>
            </w:pPr>
            <w:r w:rsidRPr="0010150F">
              <w:rPr>
                <w:rFonts w:ascii="Arial" w:hAnsi="Arial" w:cs="Arial"/>
                <w:b/>
                <w:bCs/>
              </w:rPr>
              <w:t>Spend to Date</w:t>
            </w:r>
            <w:r w:rsidRPr="0010150F">
              <w:rPr>
                <w:rStyle w:val="FootnoteReference"/>
                <w:rFonts w:ascii="Arial" w:hAnsi="Arial" w:cs="Arial"/>
                <w:b/>
                <w:bCs/>
              </w:rPr>
              <w:footnoteReference w:id="2"/>
            </w:r>
          </w:p>
        </w:tc>
      </w:tr>
      <w:tr w:rsidR="00030FE0" w:rsidRPr="0010150F" w14:paraId="0F3A8B61" w14:textId="77777777" w:rsidTr="00EC0D42">
        <w:tc>
          <w:tcPr>
            <w:tcW w:w="2137" w:type="dxa"/>
          </w:tcPr>
          <w:p w14:paraId="6707FAC2" w14:textId="77777777" w:rsidR="00030FE0" w:rsidRPr="0010150F" w:rsidRDefault="00030FE0" w:rsidP="00EC0D42">
            <w:pPr>
              <w:pStyle w:val="NoSpacing"/>
              <w:rPr>
                <w:rFonts w:ascii="Arial" w:hAnsi="Arial" w:cs="Arial"/>
              </w:rPr>
            </w:pPr>
            <w:r w:rsidRPr="0010150F">
              <w:rPr>
                <w:rFonts w:ascii="Arial" w:hAnsi="Arial" w:cs="Arial"/>
              </w:rPr>
              <w:t>Smart Mansfield</w:t>
            </w:r>
          </w:p>
        </w:tc>
        <w:tc>
          <w:tcPr>
            <w:tcW w:w="2678" w:type="dxa"/>
          </w:tcPr>
          <w:p w14:paraId="382BD52C" w14:textId="77777777" w:rsidR="00030FE0" w:rsidRPr="0010150F" w:rsidRDefault="00030FE0" w:rsidP="00EC0D42">
            <w:pPr>
              <w:pStyle w:val="NoSpacing"/>
              <w:rPr>
                <w:rFonts w:ascii="Arial" w:hAnsi="Arial" w:cs="Arial"/>
              </w:rPr>
            </w:pPr>
            <w:r w:rsidRPr="0010150F">
              <w:rPr>
                <w:rFonts w:ascii="Arial" w:hAnsi="Arial" w:cs="Arial"/>
              </w:rPr>
              <w:t>Smart Parking Evaluation Pending</w:t>
            </w:r>
          </w:p>
        </w:tc>
        <w:tc>
          <w:tcPr>
            <w:tcW w:w="1417" w:type="dxa"/>
          </w:tcPr>
          <w:p w14:paraId="049DC20B" w14:textId="77777777" w:rsidR="00030FE0" w:rsidRPr="0010150F" w:rsidRDefault="00030FE0" w:rsidP="00EC0D42">
            <w:pPr>
              <w:pStyle w:val="NoSpacing"/>
              <w:rPr>
                <w:rFonts w:ascii="Arial" w:hAnsi="Arial" w:cs="Arial"/>
              </w:rPr>
            </w:pPr>
            <w:r w:rsidRPr="0010150F">
              <w:rPr>
                <w:rFonts w:ascii="Arial" w:hAnsi="Arial" w:cs="Arial"/>
              </w:rPr>
              <w:t>Town Deal</w:t>
            </w:r>
            <w:r w:rsidRPr="0010150F">
              <w:rPr>
                <w:rStyle w:val="FootnoteReference"/>
                <w:rFonts w:ascii="Arial" w:hAnsi="Arial" w:cs="Arial"/>
              </w:rPr>
              <w:footnoteReference w:id="3"/>
            </w:r>
          </w:p>
        </w:tc>
        <w:tc>
          <w:tcPr>
            <w:tcW w:w="2410" w:type="dxa"/>
          </w:tcPr>
          <w:p w14:paraId="3329D74B" w14:textId="77777777" w:rsidR="00030FE0" w:rsidRPr="0010150F" w:rsidRDefault="00030FE0" w:rsidP="00EC0D42">
            <w:pPr>
              <w:pStyle w:val="NoSpacing"/>
              <w:jc w:val="right"/>
              <w:rPr>
                <w:rFonts w:ascii="Arial" w:hAnsi="Arial" w:cs="Arial"/>
              </w:rPr>
            </w:pPr>
            <w:r w:rsidRPr="0010150F">
              <w:rPr>
                <w:rFonts w:ascii="Arial" w:hAnsi="Arial" w:cs="Arial"/>
              </w:rPr>
              <w:t>£1,000,000 (Cap)</w:t>
            </w:r>
          </w:p>
        </w:tc>
        <w:tc>
          <w:tcPr>
            <w:tcW w:w="1968" w:type="dxa"/>
          </w:tcPr>
          <w:p w14:paraId="67353408" w14:textId="77777777" w:rsidR="00030FE0" w:rsidRPr="0010150F" w:rsidRDefault="00030FE0" w:rsidP="00EC0D42">
            <w:pPr>
              <w:pStyle w:val="NoSpacing"/>
              <w:jc w:val="right"/>
              <w:rPr>
                <w:rFonts w:ascii="Arial" w:hAnsi="Arial" w:cs="Arial"/>
              </w:rPr>
            </w:pPr>
            <w:r w:rsidRPr="0010150F">
              <w:rPr>
                <w:rFonts w:ascii="Arial" w:hAnsi="Arial" w:cs="Arial"/>
              </w:rPr>
              <w:t>£1,000,000</w:t>
            </w:r>
          </w:p>
        </w:tc>
        <w:tc>
          <w:tcPr>
            <w:tcW w:w="1859" w:type="dxa"/>
          </w:tcPr>
          <w:p w14:paraId="7F1A044C" w14:textId="77777777" w:rsidR="00030FE0" w:rsidRPr="0010150F" w:rsidRDefault="00030FE0" w:rsidP="00EC0D42">
            <w:pPr>
              <w:pStyle w:val="NoSpacing"/>
              <w:jc w:val="right"/>
              <w:rPr>
                <w:rFonts w:ascii="Arial" w:hAnsi="Arial" w:cs="Arial"/>
              </w:rPr>
            </w:pPr>
            <w:r w:rsidRPr="0010150F">
              <w:rPr>
                <w:rFonts w:ascii="Arial" w:hAnsi="Arial" w:cs="Arial"/>
              </w:rPr>
              <w:t>£1,000,000</w:t>
            </w:r>
          </w:p>
        </w:tc>
        <w:tc>
          <w:tcPr>
            <w:tcW w:w="1479" w:type="dxa"/>
          </w:tcPr>
          <w:p w14:paraId="2423DF4E" w14:textId="77777777" w:rsidR="00030FE0" w:rsidRPr="0010150F" w:rsidRDefault="00030FE0" w:rsidP="00EC0D42">
            <w:pPr>
              <w:pStyle w:val="NoSpacing"/>
              <w:jc w:val="right"/>
              <w:rPr>
                <w:rFonts w:ascii="Arial" w:hAnsi="Arial" w:cs="Arial"/>
              </w:rPr>
            </w:pPr>
            <w:r w:rsidRPr="0010150F">
              <w:rPr>
                <w:rFonts w:ascii="Arial" w:hAnsi="Arial" w:cs="Arial"/>
              </w:rPr>
              <w:t>£54,140</w:t>
            </w:r>
          </w:p>
        </w:tc>
      </w:tr>
      <w:tr w:rsidR="00030FE0" w:rsidRPr="0010150F" w14:paraId="0477CE5D" w14:textId="77777777" w:rsidTr="00EC0D42">
        <w:tc>
          <w:tcPr>
            <w:tcW w:w="2137" w:type="dxa"/>
          </w:tcPr>
          <w:p w14:paraId="5401CC1F" w14:textId="77777777" w:rsidR="00030FE0" w:rsidRPr="0010150F" w:rsidRDefault="00030FE0" w:rsidP="00EC0D42">
            <w:pPr>
              <w:pStyle w:val="NoSpacing"/>
              <w:rPr>
                <w:rFonts w:ascii="Arial" w:hAnsi="Arial" w:cs="Arial"/>
              </w:rPr>
            </w:pPr>
            <w:r w:rsidRPr="0010150F">
              <w:rPr>
                <w:rFonts w:ascii="Arial" w:hAnsi="Arial" w:cs="Arial"/>
              </w:rPr>
              <w:t>Warsop Health Hub</w:t>
            </w:r>
          </w:p>
        </w:tc>
        <w:tc>
          <w:tcPr>
            <w:tcW w:w="2678" w:type="dxa"/>
          </w:tcPr>
          <w:p w14:paraId="6400B0D4" w14:textId="77777777" w:rsidR="00030FE0" w:rsidRPr="0010150F" w:rsidRDefault="00030FE0" w:rsidP="00EC0D42">
            <w:pPr>
              <w:pStyle w:val="NoSpacing"/>
              <w:rPr>
                <w:rFonts w:ascii="Arial" w:hAnsi="Arial" w:cs="Arial"/>
              </w:rPr>
            </w:pPr>
            <w:r w:rsidRPr="0010150F">
              <w:rPr>
                <w:rFonts w:ascii="Arial" w:hAnsi="Arial" w:cs="Arial"/>
              </w:rPr>
              <w:t>Complete</w:t>
            </w:r>
          </w:p>
        </w:tc>
        <w:tc>
          <w:tcPr>
            <w:tcW w:w="1417" w:type="dxa"/>
          </w:tcPr>
          <w:p w14:paraId="098CA09E" w14:textId="77777777" w:rsidR="00030FE0" w:rsidRPr="0010150F" w:rsidRDefault="00030FE0" w:rsidP="00EC0D42">
            <w:pPr>
              <w:pStyle w:val="NoSpacing"/>
              <w:rPr>
                <w:rFonts w:ascii="Arial" w:hAnsi="Arial" w:cs="Arial"/>
              </w:rPr>
            </w:pPr>
            <w:r w:rsidRPr="0010150F">
              <w:rPr>
                <w:rFonts w:ascii="Arial" w:hAnsi="Arial" w:cs="Arial"/>
              </w:rPr>
              <w:t>Town Deal</w:t>
            </w:r>
          </w:p>
        </w:tc>
        <w:tc>
          <w:tcPr>
            <w:tcW w:w="2410" w:type="dxa"/>
          </w:tcPr>
          <w:p w14:paraId="72FA7A94" w14:textId="77777777" w:rsidR="00030FE0" w:rsidRPr="0010150F" w:rsidRDefault="00030FE0" w:rsidP="00EC0D42">
            <w:pPr>
              <w:pStyle w:val="NoSpacing"/>
              <w:jc w:val="right"/>
              <w:rPr>
                <w:rFonts w:ascii="Arial" w:hAnsi="Arial" w:cs="Arial"/>
              </w:rPr>
            </w:pPr>
            <w:r w:rsidRPr="0010150F">
              <w:rPr>
                <w:rFonts w:ascii="Arial" w:hAnsi="Arial" w:cs="Arial"/>
              </w:rPr>
              <w:t>£3,000,000 (Cap)</w:t>
            </w:r>
          </w:p>
        </w:tc>
        <w:tc>
          <w:tcPr>
            <w:tcW w:w="1968" w:type="dxa"/>
          </w:tcPr>
          <w:p w14:paraId="0E3D6DEA" w14:textId="77777777" w:rsidR="00030FE0" w:rsidRPr="0010150F" w:rsidRDefault="00030FE0" w:rsidP="00EC0D42">
            <w:pPr>
              <w:pStyle w:val="NoSpacing"/>
              <w:jc w:val="right"/>
              <w:rPr>
                <w:rFonts w:ascii="Arial" w:hAnsi="Arial" w:cs="Arial"/>
              </w:rPr>
            </w:pPr>
            <w:r w:rsidRPr="0010150F">
              <w:rPr>
                <w:rFonts w:ascii="Arial" w:hAnsi="Arial" w:cs="Arial"/>
              </w:rPr>
              <w:t>£9,940,129</w:t>
            </w:r>
          </w:p>
        </w:tc>
        <w:tc>
          <w:tcPr>
            <w:tcW w:w="1859" w:type="dxa"/>
          </w:tcPr>
          <w:p w14:paraId="65AE5E15" w14:textId="211A273E" w:rsidR="00030FE0" w:rsidRPr="0010150F" w:rsidRDefault="00030FE0" w:rsidP="00EC0D42">
            <w:pPr>
              <w:pStyle w:val="NoSpacing"/>
              <w:jc w:val="right"/>
              <w:rPr>
                <w:rFonts w:ascii="Arial" w:hAnsi="Arial" w:cs="Arial"/>
              </w:rPr>
            </w:pPr>
            <w:r w:rsidRPr="0010150F">
              <w:rPr>
                <w:rFonts w:ascii="Arial" w:hAnsi="Arial" w:cs="Arial"/>
              </w:rPr>
              <w:t>£</w:t>
            </w:r>
            <w:r w:rsidR="007B53CA" w:rsidRPr="007B53CA">
              <w:rPr>
                <w:rFonts w:ascii="Arial" w:hAnsi="Arial" w:cs="Arial"/>
              </w:rPr>
              <w:t>9,326,105</w:t>
            </w:r>
          </w:p>
        </w:tc>
        <w:tc>
          <w:tcPr>
            <w:tcW w:w="1479" w:type="dxa"/>
          </w:tcPr>
          <w:p w14:paraId="6D5C2EAF" w14:textId="088B553C" w:rsidR="00030FE0" w:rsidRPr="0010150F" w:rsidRDefault="00030FE0" w:rsidP="00EC0D42">
            <w:pPr>
              <w:pStyle w:val="NoSpacing"/>
              <w:jc w:val="right"/>
              <w:rPr>
                <w:rFonts w:ascii="Arial" w:hAnsi="Arial" w:cs="Arial"/>
              </w:rPr>
            </w:pPr>
            <w:r w:rsidRPr="0010150F">
              <w:rPr>
                <w:rFonts w:ascii="Arial" w:hAnsi="Arial" w:cs="Arial"/>
              </w:rPr>
              <w:t>£</w:t>
            </w:r>
            <w:r w:rsidR="0028089B" w:rsidRPr="0028089B">
              <w:rPr>
                <w:rFonts w:ascii="Arial" w:hAnsi="Arial" w:cs="Arial"/>
              </w:rPr>
              <w:t>9,466,876</w:t>
            </w:r>
          </w:p>
        </w:tc>
      </w:tr>
      <w:tr w:rsidR="00030FE0" w:rsidRPr="0010150F" w14:paraId="45713D14" w14:textId="77777777" w:rsidTr="00EC0D42">
        <w:tc>
          <w:tcPr>
            <w:tcW w:w="2137" w:type="dxa"/>
          </w:tcPr>
          <w:p w14:paraId="033470B9" w14:textId="77777777" w:rsidR="00030FE0" w:rsidRPr="0010150F" w:rsidRDefault="00030FE0" w:rsidP="00EC0D42">
            <w:pPr>
              <w:pStyle w:val="NoSpacing"/>
              <w:rPr>
                <w:rFonts w:ascii="Arial" w:hAnsi="Arial" w:cs="Arial"/>
              </w:rPr>
            </w:pPr>
            <w:r w:rsidRPr="0010150F">
              <w:rPr>
                <w:rFonts w:ascii="Arial" w:hAnsi="Arial" w:cs="Arial"/>
              </w:rPr>
              <w:t>Future Tech Exchange (WNC)</w:t>
            </w:r>
          </w:p>
        </w:tc>
        <w:tc>
          <w:tcPr>
            <w:tcW w:w="2678" w:type="dxa"/>
          </w:tcPr>
          <w:p w14:paraId="0DD51FC2" w14:textId="77777777" w:rsidR="00030FE0" w:rsidRPr="0010150F" w:rsidRDefault="00030FE0" w:rsidP="00EC0D42">
            <w:pPr>
              <w:pStyle w:val="NoSpacing"/>
              <w:rPr>
                <w:rFonts w:ascii="Arial" w:hAnsi="Arial" w:cs="Arial"/>
              </w:rPr>
            </w:pPr>
            <w:r w:rsidRPr="0010150F">
              <w:rPr>
                <w:rFonts w:ascii="Arial" w:hAnsi="Arial" w:cs="Arial"/>
              </w:rPr>
              <w:t>Underway</w:t>
            </w:r>
          </w:p>
        </w:tc>
        <w:tc>
          <w:tcPr>
            <w:tcW w:w="1417" w:type="dxa"/>
          </w:tcPr>
          <w:p w14:paraId="443011F2" w14:textId="77777777" w:rsidR="00030FE0" w:rsidRPr="0010150F" w:rsidRDefault="00030FE0" w:rsidP="00EC0D42">
            <w:pPr>
              <w:pStyle w:val="NoSpacing"/>
              <w:rPr>
                <w:rFonts w:ascii="Arial" w:hAnsi="Arial" w:cs="Arial"/>
              </w:rPr>
            </w:pPr>
            <w:r w:rsidRPr="0010150F">
              <w:rPr>
                <w:rFonts w:ascii="Arial" w:hAnsi="Arial" w:cs="Arial"/>
              </w:rPr>
              <w:t>Town Deal</w:t>
            </w:r>
          </w:p>
        </w:tc>
        <w:tc>
          <w:tcPr>
            <w:tcW w:w="2410" w:type="dxa"/>
          </w:tcPr>
          <w:p w14:paraId="032D51CD" w14:textId="77777777" w:rsidR="00030FE0" w:rsidRPr="0010150F" w:rsidRDefault="00030FE0" w:rsidP="00EC0D42">
            <w:pPr>
              <w:pStyle w:val="NoSpacing"/>
              <w:jc w:val="right"/>
              <w:rPr>
                <w:rFonts w:ascii="Arial" w:hAnsi="Arial" w:cs="Arial"/>
              </w:rPr>
            </w:pPr>
            <w:r w:rsidRPr="0010150F">
              <w:rPr>
                <w:rFonts w:ascii="Arial" w:hAnsi="Arial" w:cs="Arial"/>
              </w:rPr>
              <w:t>£4,150,000 (Cap)</w:t>
            </w:r>
          </w:p>
          <w:p w14:paraId="7CA7D3A0" w14:textId="77777777" w:rsidR="00030FE0" w:rsidRPr="0010150F" w:rsidRDefault="00030FE0" w:rsidP="00EC0D42">
            <w:pPr>
              <w:pStyle w:val="NoSpacing"/>
              <w:jc w:val="right"/>
              <w:rPr>
                <w:rFonts w:ascii="Arial" w:hAnsi="Arial" w:cs="Arial"/>
              </w:rPr>
            </w:pPr>
            <w:r w:rsidRPr="0010150F">
              <w:rPr>
                <w:rFonts w:ascii="Arial" w:hAnsi="Arial" w:cs="Arial"/>
              </w:rPr>
              <w:t>£150,000 (Rev)</w:t>
            </w:r>
          </w:p>
        </w:tc>
        <w:tc>
          <w:tcPr>
            <w:tcW w:w="1968" w:type="dxa"/>
          </w:tcPr>
          <w:p w14:paraId="4D6E9D22" w14:textId="77777777" w:rsidR="00030FE0" w:rsidRPr="0010150F" w:rsidRDefault="00030FE0" w:rsidP="00EC0D42">
            <w:pPr>
              <w:pStyle w:val="NoSpacing"/>
              <w:jc w:val="right"/>
              <w:rPr>
                <w:rFonts w:ascii="Arial" w:hAnsi="Arial" w:cs="Arial"/>
              </w:rPr>
            </w:pPr>
            <w:r w:rsidRPr="0010150F">
              <w:rPr>
                <w:rFonts w:ascii="Arial" w:hAnsi="Arial" w:cs="Arial"/>
              </w:rPr>
              <w:t>£9,010,823</w:t>
            </w:r>
          </w:p>
          <w:p w14:paraId="278F036F" w14:textId="77777777" w:rsidR="00030FE0" w:rsidRPr="0010150F" w:rsidRDefault="00030FE0" w:rsidP="00EC0D42">
            <w:pPr>
              <w:pStyle w:val="NoSpacing"/>
              <w:jc w:val="right"/>
              <w:rPr>
                <w:rFonts w:ascii="Arial" w:hAnsi="Arial" w:cs="Arial"/>
              </w:rPr>
            </w:pPr>
            <w:r w:rsidRPr="0010150F">
              <w:rPr>
                <w:rFonts w:ascii="Arial" w:hAnsi="Arial" w:cs="Arial"/>
              </w:rPr>
              <w:t>£150,000</w:t>
            </w:r>
          </w:p>
        </w:tc>
        <w:tc>
          <w:tcPr>
            <w:tcW w:w="1859" w:type="dxa"/>
          </w:tcPr>
          <w:p w14:paraId="34838A3F" w14:textId="77777777" w:rsidR="00030FE0" w:rsidRPr="0010150F" w:rsidRDefault="00030FE0" w:rsidP="00EC0D42">
            <w:pPr>
              <w:pStyle w:val="NoSpacing"/>
              <w:jc w:val="right"/>
              <w:rPr>
                <w:rFonts w:ascii="Arial" w:hAnsi="Arial" w:cs="Arial"/>
              </w:rPr>
            </w:pPr>
            <w:r w:rsidRPr="0010150F">
              <w:rPr>
                <w:rFonts w:ascii="Arial" w:hAnsi="Arial" w:cs="Arial"/>
              </w:rPr>
              <w:t>£9,010,823</w:t>
            </w:r>
          </w:p>
          <w:p w14:paraId="355B7352" w14:textId="77777777" w:rsidR="00030FE0" w:rsidRPr="0010150F" w:rsidRDefault="00030FE0" w:rsidP="00EC0D42">
            <w:pPr>
              <w:pStyle w:val="NoSpacing"/>
              <w:jc w:val="right"/>
              <w:rPr>
                <w:rFonts w:ascii="Arial" w:hAnsi="Arial" w:cs="Arial"/>
              </w:rPr>
            </w:pPr>
            <w:r w:rsidRPr="0010150F">
              <w:rPr>
                <w:rFonts w:ascii="Arial" w:hAnsi="Arial" w:cs="Arial"/>
              </w:rPr>
              <w:t>£150,000</w:t>
            </w:r>
          </w:p>
        </w:tc>
        <w:tc>
          <w:tcPr>
            <w:tcW w:w="1479" w:type="dxa"/>
          </w:tcPr>
          <w:p w14:paraId="1063E1DD" w14:textId="77777777" w:rsidR="00030FE0" w:rsidRPr="0010150F" w:rsidRDefault="00030FE0" w:rsidP="00EC0D42">
            <w:pPr>
              <w:pStyle w:val="NoSpacing"/>
              <w:jc w:val="right"/>
              <w:rPr>
                <w:rFonts w:ascii="Arial" w:hAnsi="Arial" w:cs="Arial"/>
              </w:rPr>
            </w:pPr>
            <w:r w:rsidRPr="0010150F">
              <w:rPr>
                <w:rFonts w:ascii="Arial" w:hAnsi="Arial" w:cs="Arial"/>
              </w:rPr>
              <w:t>£3,847,499</w:t>
            </w:r>
          </w:p>
          <w:p w14:paraId="62DCA34A" w14:textId="77777777" w:rsidR="00030FE0" w:rsidRPr="0010150F" w:rsidRDefault="00030FE0" w:rsidP="00EC0D42">
            <w:pPr>
              <w:pStyle w:val="NoSpacing"/>
              <w:jc w:val="right"/>
              <w:rPr>
                <w:rFonts w:ascii="Arial" w:hAnsi="Arial" w:cs="Arial"/>
              </w:rPr>
            </w:pPr>
            <w:r w:rsidRPr="0010150F">
              <w:rPr>
                <w:rFonts w:ascii="Arial" w:hAnsi="Arial" w:cs="Arial"/>
              </w:rPr>
              <w:t>£0</w:t>
            </w:r>
          </w:p>
        </w:tc>
      </w:tr>
      <w:tr w:rsidR="00030FE0" w:rsidRPr="0010150F" w14:paraId="09F7DD4A" w14:textId="77777777" w:rsidTr="00EC0D42">
        <w:tc>
          <w:tcPr>
            <w:tcW w:w="2137" w:type="dxa"/>
          </w:tcPr>
          <w:p w14:paraId="2440F106" w14:textId="77777777" w:rsidR="00030FE0" w:rsidRPr="0010150F" w:rsidRDefault="00030FE0" w:rsidP="00EC0D42">
            <w:pPr>
              <w:pStyle w:val="NoSpacing"/>
              <w:rPr>
                <w:rFonts w:ascii="Arial" w:hAnsi="Arial" w:cs="Arial"/>
              </w:rPr>
            </w:pPr>
            <w:r w:rsidRPr="0010150F">
              <w:rPr>
                <w:rFonts w:ascii="Arial" w:hAnsi="Arial" w:cs="Arial"/>
              </w:rPr>
              <w:t>Destination Branding</w:t>
            </w:r>
          </w:p>
        </w:tc>
        <w:tc>
          <w:tcPr>
            <w:tcW w:w="2678" w:type="dxa"/>
          </w:tcPr>
          <w:p w14:paraId="6A6B34F7" w14:textId="77777777" w:rsidR="00030FE0" w:rsidRPr="0010150F" w:rsidRDefault="00030FE0" w:rsidP="00EC0D42">
            <w:pPr>
              <w:pStyle w:val="NoSpacing"/>
              <w:rPr>
                <w:rFonts w:ascii="Arial" w:hAnsi="Arial" w:cs="Arial"/>
              </w:rPr>
            </w:pPr>
            <w:r w:rsidRPr="0010150F">
              <w:rPr>
                <w:rFonts w:ascii="Arial" w:hAnsi="Arial" w:cs="Arial"/>
              </w:rPr>
              <w:t>Underway</w:t>
            </w:r>
          </w:p>
        </w:tc>
        <w:tc>
          <w:tcPr>
            <w:tcW w:w="1417" w:type="dxa"/>
          </w:tcPr>
          <w:p w14:paraId="2DDBD401" w14:textId="77777777" w:rsidR="00030FE0" w:rsidRPr="0010150F" w:rsidRDefault="00030FE0" w:rsidP="00EC0D42">
            <w:pPr>
              <w:pStyle w:val="NoSpacing"/>
              <w:rPr>
                <w:rFonts w:ascii="Arial" w:hAnsi="Arial" w:cs="Arial"/>
              </w:rPr>
            </w:pPr>
            <w:r w:rsidRPr="0010150F">
              <w:rPr>
                <w:rFonts w:ascii="Arial" w:hAnsi="Arial" w:cs="Arial"/>
              </w:rPr>
              <w:t>Town Deal</w:t>
            </w:r>
          </w:p>
        </w:tc>
        <w:tc>
          <w:tcPr>
            <w:tcW w:w="2410" w:type="dxa"/>
          </w:tcPr>
          <w:p w14:paraId="6560EFE5" w14:textId="77777777" w:rsidR="00030FE0" w:rsidRPr="0010150F" w:rsidRDefault="00030FE0" w:rsidP="00EC0D42">
            <w:pPr>
              <w:pStyle w:val="NoSpacing"/>
              <w:jc w:val="right"/>
              <w:rPr>
                <w:rFonts w:ascii="Arial" w:hAnsi="Arial" w:cs="Arial"/>
              </w:rPr>
            </w:pPr>
            <w:r w:rsidRPr="0010150F">
              <w:rPr>
                <w:rFonts w:ascii="Arial" w:hAnsi="Arial" w:cs="Arial"/>
              </w:rPr>
              <w:t>£500,000 (Rev)</w:t>
            </w:r>
          </w:p>
          <w:p w14:paraId="52E0139C" w14:textId="77777777" w:rsidR="00030FE0" w:rsidRPr="0010150F" w:rsidRDefault="00030FE0" w:rsidP="00EC0D42">
            <w:pPr>
              <w:pStyle w:val="NoSpacing"/>
              <w:jc w:val="right"/>
              <w:rPr>
                <w:rFonts w:ascii="Arial" w:hAnsi="Arial" w:cs="Arial"/>
              </w:rPr>
            </w:pPr>
            <w:r w:rsidRPr="0010150F">
              <w:rPr>
                <w:rFonts w:ascii="Arial" w:hAnsi="Arial" w:cs="Arial"/>
              </w:rPr>
              <w:t>£25,000 (Cap)</w:t>
            </w:r>
          </w:p>
        </w:tc>
        <w:tc>
          <w:tcPr>
            <w:tcW w:w="1968" w:type="dxa"/>
          </w:tcPr>
          <w:p w14:paraId="795D2554" w14:textId="77777777" w:rsidR="00030FE0" w:rsidRPr="0010150F" w:rsidRDefault="00030FE0" w:rsidP="00EC0D42">
            <w:pPr>
              <w:pStyle w:val="NoSpacing"/>
              <w:jc w:val="right"/>
              <w:rPr>
                <w:rFonts w:ascii="Arial" w:hAnsi="Arial" w:cs="Arial"/>
              </w:rPr>
            </w:pPr>
            <w:r w:rsidRPr="0010150F">
              <w:rPr>
                <w:rFonts w:ascii="Arial" w:hAnsi="Arial" w:cs="Arial"/>
              </w:rPr>
              <w:t>£715,000</w:t>
            </w:r>
          </w:p>
          <w:p w14:paraId="056E09AC" w14:textId="77777777" w:rsidR="00030FE0" w:rsidRPr="0010150F" w:rsidRDefault="00030FE0" w:rsidP="00EC0D42">
            <w:pPr>
              <w:pStyle w:val="NoSpacing"/>
              <w:jc w:val="right"/>
              <w:rPr>
                <w:rFonts w:ascii="Arial" w:hAnsi="Arial" w:cs="Arial"/>
              </w:rPr>
            </w:pPr>
            <w:r w:rsidRPr="0010150F">
              <w:rPr>
                <w:rFonts w:ascii="Arial" w:hAnsi="Arial" w:cs="Arial"/>
              </w:rPr>
              <w:t>£25,000</w:t>
            </w:r>
          </w:p>
        </w:tc>
        <w:tc>
          <w:tcPr>
            <w:tcW w:w="1859" w:type="dxa"/>
          </w:tcPr>
          <w:p w14:paraId="6975AC3A" w14:textId="77777777" w:rsidR="00030FE0" w:rsidRPr="0010150F" w:rsidRDefault="00030FE0" w:rsidP="00EC0D42">
            <w:pPr>
              <w:pStyle w:val="NoSpacing"/>
              <w:jc w:val="right"/>
              <w:rPr>
                <w:rFonts w:ascii="Arial" w:hAnsi="Arial" w:cs="Arial"/>
              </w:rPr>
            </w:pPr>
            <w:r w:rsidRPr="0010150F">
              <w:rPr>
                <w:rFonts w:ascii="Arial" w:hAnsi="Arial" w:cs="Arial"/>
              </w:rPr>
              <w:t>£715,000</w:t>
            </w:r>
          </w:p>
          <w:p w14:paraId="625D155E" w14:textId="77777777" w:rsidR="00030FE0" w:rsidRPr="0010150F" w:rsidRDefault="00030FE0" w:rsidP="00EC0D42">
            <w:pPr>
              <w:pStyle w:val="NoSpacing"/>
              <w:jc w:val="right"/>
              <w:rPr>
                <w:rFonts w:ascii="Arial" w:hAnsi="Arial" w:cs="Arial"/>
              </w:rPr>
            </w:pPr>
            <w:r w:rsidRPr="0010150F">
              <w:rPr>
                <w:rFonts w:ascii="Arial" w:hAnsi="Arial" w:cs="Arial"/>
              </w:rPr>
              <w:t>£25,000</w:t>
            </w:r>
          </w:p>
        </w:tc>
        <w:tc>
          <w:tcPr>
            <w:tcW w:w="1479" w:type="dxa"/>
          </w:tcPr>
          <w:p w14:paraId="2809B15C" w14:textId="77777777" w:rsidR="00030FE0" w:rsidRPr="0010150F" w:rsidRDefault="00030FE0" w:rsidP="00EC0D42">
            <w:pPr>
              <w:pStyle w:val="NoSpacing"/>
              <w:jc w:val="right"/>
              <w:rPr>
                <w:rFonts w:ascii="Arial" w:hAnsi="Arial" w:cs="Arial"/>
              </w:rPr>
            </w:pPr>
            <w:r w:rsidRPr="0010150F">
              <w:rPr>
                <w:rFonts w:ascii="Arial" w:hAnsi="Arial" w:cs="Arial"/>
              </w:rPr>
              <w:t>£315,850</w:t>
            </w:r>
          </w:p>
          <w:p w14:paraId="16E5D3B7" w14:textId="77777777" w:rsidR="00030FE0" w:rsidRPr="0010150F" w:rsidRDefault="00030FE0" w:rsidP="00EC0D42">
            <w:pPr>
              <w:pStyle w:val="NoSpacing"/>
              <w:jc w:val="right"/>
              <w:rPr>
                <w:rFonts w:ascii="Arial" w:hAnsi="Arial" w:cs="Arial"/>
              </w:rPr>
            </w:pPr>
            <w:r w:rsidRPr="0010150F">
              <w:rPr>
                <w:rFonts w:ascii="Arial" w:hAnsi="Arial" w:cs="Arial"/>
              </w:rPr>
              <w:t>£0</w:t>
            </w:r>
          </w:p>
        </w:tc>
      </w:tr>
      <w:tr w:rsidR="00030FE0" w:rsidRPr="0010150F" w14:paraId="750E1C42" w14:textId="77777777" w:rsidTr="00EC0D42">
        <w:tc>
          <w:tcPr>
            <w:tcW w:w="2137" w:type="dxa"/>
          </w:tcPr>
          <w:p w14:paraId="04F11024" w14:textId="77777777" w:rsidR="00030FE0" w:rsidRPr="0010150F" w:rsidRDefault="00030FE0" w:rsidP="00EC0D42">
            <w:pPr>
              <w:pStyle w:val="NoSpacing"/>
              <w:rPr>
                <w:rFonts w:ascii="Arial" w:hAnsi="Arial" w:cs="Arial"/>
              </w:rPr>
            </w:pPr>
            <w:r w:rsidRPr="0010150F">
              <w:rPr>
                <w:rFonts w:ascii="Arial" w:hAnsi="Arial" w:cs="Arial"/>
              </w:rPr>
              <w:t>Berry Hill Park</w:t>
            </w:r>
          </w:p>
        </w:tc>
        <w:tc>
          <w:tcPr>
            <w:tcW w:w="2678" w:type="dxa"/>
          </w:tcPr>
          <w:p w14:paraId="2F04E7A8" w14:textId="77777777" w:rsidR="00030FE0" w:rsidRPr="0010150F" w:rsidRDefault="00030FE0" w:rsidP="00EC0D42">
            <w:pPr>
              <w:pStyle w:val="NoSpacing"/>
              <w:rPr>
                <w:rFonts w:ascii="Arial" w:hAnsi="Arial" w:cs="Arial"/>
              </w:rPr>
            </w:pPr>
            <w:r w:rsidRPr="0010150F">
              <w:rPr>
                <w:rFonts w:ascii="Arial" w:hAnsi="Arial" w:cs="Arial"/>
              </w:rPr>
              <w:t>Underway, commenced March 2025</w:t>
            </w:r>
          </w:p>
        </w:tc>
        <w:tc>
          <w:tcPr>
            <w:tcW w:w="1417" w:type="dxa"/>
          </w:tcPr>
          <w:p w14:paraId="6A37E2CF" w14:textId="77777777" w:rsidR="00030FE0" w:rsidRPr="0010150F" w:rsidRDefault="00030FE0" w:rsidP="00EC0D42">
            <w:pPr>
              <w:pStyle w:val="NoSpacing"/>
              <w:rPr>
                <w:rFonts w:ascii="Arial" w:hAnsi="Arial" w:cs="Arial"/>
              </w:rPr>
            </w:pPr>
            <w:r w:rsidRPr="0010150F">
              <w:rPr>
                <w:rFonts w:ascii="Arial" w:hAnsi="Arial" w:cs="Arial"/>
              </w:rPr>
              <w:t>Town Deal</w:t>
            </w:r>
          </w:p>
        </w:tc>
        <w:tc>
          <w:tcPr>
            <w:tcW w:w="2410" w:type="dxa"/>
          </w:tcPr>
          <w:p w14:paraId="7D0503AD" w14:textId="77777777" w:rsidR="00030FE0" w:rsidRPr="0010150F" w:rsidRDefault="00030FE0" w:rsidP="00EC0D42">
            <w:pPr>
              <w:pStyle w:val="NoSpacing"/>
              <w:jc w:val="right"/>
              <w:rPr>
                <w:rFonts w:ascii="Arial" w:hAnsi="Arial" w:cs="Arial"/>
              </w:rPr>
            </w:pPr>
            <w:r w:rsidRPr="0010150F">
              <w:rPr>
                <w:rFonts w:ascii="Arial" w:hAnsi="Arial" w:cs="Arial"/>
              </w:rPr>
              <w:t>£3,500,000 (Cap)</w:t>
            </w:r>
          </w:p>
        </w:tc>
        <w:tc>
          <w:tcPr>
            <w:tcW w:w="1968" w:type="dxa"/>
          </w:tcPr>
          <w:p w14:paraId="446AF3F1" w14:textId="77777777" w:rsidR="00030FE0" w:rsidRPr="0010150F" w:rsidRDefault="00030FE0" w:rsidP="00EC0D42">
            <w:pPr>
              <w:pStyle w:val="NoSpacing"/>
              <w:jc w:val="right"/>
              <w:rPr>
                <w:rFonts w:ascii="Arial" w:hAnsi="Arial" w:cs="Arial"/>
              </w:rPr>
            </w:pPr>
            <w:r w:rsidRPr="0010150F">
              <w:rPr>
                <w:rFonts w:ascii="Arial" w:hAnsi="Arial" w:cs="Arial"/>
              </w:rPr>
              <w:t>£3,777,000</w:t>
            </w:r>
          </w:p>
        </w:tc>
        <w:tc>
          <w:tcPr>
            <w:tcW w:w="1859" w:type="dxa"/>
          </w:tcPr>
          <w:p w14:paraId="561D3433" w14:textId="77777777" w:rsidR="00030FE0" w:rsidRPr="0010150F" w:rsidRDefault="00030FE0" w:rsidP="00EC0D42">
            <w:pPr>
              <w:pStyle w:val="NoSpacing"/>
              <w:jc w:val="right"/>
              <w:rPr>
                <w:rFonts w:ascii="Arial" w:hAnsi="Arial" w:cs="Arial"/>
              </w:rPr>
            </w:pPr>
            <w:r w:rsidRPr="0010150F">
              <w:rPr>
                <w:rFonts w:ascii="Arial" w:hAnsi="Arial" w:cs="Arial"/>
              </w:rPr>
              <w:t>£3,777,000</w:t>
            </w:r>
          </w:p>
        </w:tc>
        <w:tc>
          <w:tcPr>
            <w:tcW w:w="1479" w:type="dxa"/>
          </w:tcPr>
          <w:p w14:paraId="39686597" w14:textId="77777777" w:rsidR="00030FE0" w:rsidRPr="0010150F" w:rsidRDefault="00030FE0" w:rsidP="00EC0D42">
            <w:pPr>
              <w:pStyle w:val="NoSpacing"/>
              <w:jc w:val="right"/>
              <w:rPr>
                <w:rFonts w:ascii="Arial" w:hAnsi="Arial" w:cs="Arial"/>
              </w:rPr>
            </w:pPr>
            <w:r w:rsidRPr="0010150F">
              <w:rPr>
                <w:rFonts w:ascii="Arial" w:hAnsi="Arial" w:cs="Arial"/>
              </w:rPr>
              <w:t>£384,117</w:t>
            </w:r>
          </w:p>
        </w:tc>
      </w:tr>
      <w:tr w:rsidR="00030FE0" w:rsidRPr="0010150F" w14:paraId="774B8D93" w14:textId="77777777" w:rsidTr="00EC0D42">
        <w:tc>
          <w:tcPr>
            <w:tcW w:w="2137" w:type="dxa"/>
          </w:tcPr>
          <w:p w14:paraId="395EF7FA" w14:textId="77777777" w:rsidR="00030FE0" w:rsidRPr="0010150F" w:rsidRDefault="00030FE0" w:rsidP="00EC0D42">
            <w:pPr>
              <w:pStyle w:val="NoSpacing"/>
              <w:rPr>
                <w:rFonts w:ascii="Arial" w:hAnsi="Arial" w:cs="Arial"/>
              </w:rPr>
            </w:pPr>
            <w:r w:rsidRPr="0010150F">
              <w:rPr>
                <w:rFonts w:ascii="Arial" w:hAnsi="Arial" w:cs="Arial"/>
              </w:rPr>
              <w:t>Mansfield Connect</w:t>
            </w:r>
          </w:p>
        </w:tc>
        <w:tc>
          <w:tcPr>
            <w:tcW w:w="2678" w:type="dxa"/>
          </w:tcPr>
          <w:p w14:paraId="0B5C1029" w14:textId="77777777" w:rsidR="00030FE0" w:rsidRPr="0010150F" w:rsidRDefault="00030FE0" w:rsidP="00EC0D42">
            <w:pPr>
              <w:pStyle w:val="NoSpacing"/>
              <w:rPr>
                <w:rFonts w:ascii="Arial" w:hAnsi="Arial" w:cs="Arial"/>
              </w:rPr>
            </w:pPr>
            <w:r w:rsidRPr="0010150F">
              <w:rPr>
                <w:rFonts w:ascii="Arial" w:hAnsi="Arial" w:cs="Arial"/>
              </w:rPr>
              <w:t xml:space="preserve">Design Phase Underway, demolition / asbestos removal approved met from LUF </w:t>
            </w:r>
          </w:p>
        </w:tc>
        <w:tc>
          <w:tcPr>
            <w:tcW w:w="1417" w:type="dxa"/>
          </w:tcPr>
          <w:p w14:paraId="65E49C4E" w14:textId="77777777" w:rsidR="00030FE0" w:rsidRPr="0010150F" w:rsidRDefault="00030FE0" w:rsidP="00EC0D42">
            <w:pPr>
              <w:pStyle w:val="NoSpacing"/>
              <w:rPr>
                <w:rFonts w:ascii="Arial" w:hAnsi="Arial" w:cs="Arial"/>
              </w:rPr>
            </w:pPr>
            <w:r w:rsidRPr="0010150F">
              <w:rPr>
                <w:rFonts w:ascii="Arial" w:hAnsi="Arial" w:cs="Arial"/>
              </w:rPr>
              <w:t>LUF</w:t>
            </w:r>
            <w:r>
              <w:rPr>
                <w:rStyle w:val="FootnoteReference"/>
                <w:rFonts w:ascii="Arial" w:hAnsi="Arial" w:cs="Arial"/>
              </w:rPr>
              <w:footnoteReference w:id="4"/>
            </w:r>
            <w:r w:rsidRPr="0010150F">
              <w:rPr>
                <w:rFonts w:ascii="Arial" w:hAnsi="Arial" w:cs="Arial"/>
              </w:rPr>
              <w:t xml:space="preserve"> / CRP</w:t>
            </w:r>
          </w:p>
        </w:tc>
        <w:tc>
          <w:tcPr>
            <w:tcW w:w="2410" w:type="dxa"/>
          </w:tcPr>
          <w:p w14:paraId="0E4D4B02" w14:textId="77777777" w:rsidR="00030FE0" w:rsidRPr="0010150F" w:rsidRDefault="00030FE0" w:rsidP="00EC0D42">
            <w:pPr>
              <w:pStyle w:val="NoSpacing"/>
              <w:jc w:val="right"/>
              <w:rPr>
                <w:rFonts w:ascii="Arial" w:hAnsi="Arial" w:cs="Arial"/>
              </w:rPr>
            </w:pPr>
            <w:r w:rsidRPr="0010150F">
              <w:rPr>
                <w:rFonts w:ascii="Arial" w:hAnsi="Arial" w:cs="Arial"/>
              </w:rPr>
              <w:t>£30M</w:t>
            </w:r>
          </w:p>
        </w:tc>
        <w:tc>
          <w:tcPr>
            <w:tcW w:w="1968" w:type="dxa"/>
          </w:tcPr>
          <w:p w14:paraId="46434A11" w14:textId="77777777" w:rsidR="00030FE0" w:rsidRPr="0010150F" w:rsidRDefault="00030FE0" w:rsidP="00EC0D42">
            <w:pPr>
              <w:pStyle w:val="NoSpacing"/>
              <w:jc w:val="right"/>
              <w:rPr>
                <w:rFonts w:ascii="Arial" w:hAnsi="Arial" w:cs="Arial"/>
              </w:rPr>
            </w:pPr>
            <w:r w:rsidRPr="0010150F">
              <w:rPr>
                <w:rFonts w:ascii="Arial" w:hAnsi="Arial" w:cs="Arial"/>
              </w:rPr>
              <w:t>£33.5M</w:t>
            </w:r>
          </w:p>
          <w:p w14:paraId="1E7D4CD0" w14:textId="77777777" w:rsidR="00030FE0" w:rsidRPr="0010150F" w:rsidRDefault="00030FE0" w:rsidP="00EC0D42">
            <w:pPr>
              <w:pStyle w:val="NoSpacing"/>
              <w:jc w:val="right"/>
              <w:rPr>
                <w:rFonts w:ascii="Arial" w:hAnsi="Arial" w:cs="Arial"/>
              </w:rPr>
            </w:pPr>
            <w:r w:rsidRPr="0010150F">
              <w:rPr>
                <w:rFonts w:ascii="Arial" w:hAnsi="Arial" w:cs="Arial"/>
              </w:rPr>
              <w:t xml:space="preserve">Approved budget £8M </w:t>
            </w:r>
          </w:p>
        </w:tc>
        <w:tc>
          <w:tcPr>
            <w:tcW w:w="1859" w:type="dxa"/>
          </w:tcPr>
          <w:p w14:paraId="47F88AD9" w14:textId="77777777" w:rsidR="00030FE0" w:rsidRDefault="00030FE0" w:rsidP="00EC0D42">
            <w:pPr>
              <w:pStyle w:val="NoSpacing"/>
              <w:jc w:val="right"/>
              <w:rPr>
                <w:rFonts w:ascii="Arial" w:hAnsi="Arial" w:cs="Arial"/>
              </w:rPr>
            </w:pPr>
            <w:r w:rsidRPr="0010150F">
              <w:rPr>
                <w:rFonts w:ascii="Arial" w:hAnsi="Arial" w:cs="Arial"/>
              </w:rPr>
              <w:t>£33.5M</w:t>
            </w:r>
          </w:p>
          <w:p w14:paraId="24F38505" w14:textId="3000236C" w:rsidR="00030FE0" w:rsidRPr="0010150F" w:rsidRDefault="00030FE0" w:rsidP="00EC0D42">
            <w:pPr>
              <w:pStyle w:val="NoSpacing"/>
              <w:jc w:val="right"/>
              <w:rPr>
                <w:rFonts w:ascii="Arial" w:hAnsi="Arial" w:cs="Arial"/>
              </w:rPr>
            </w:pPr>
            <w:r>
              <w:rPr>
                <w:rFonts w:ascii="Arial" w:hAnsi="Arial" w:cs="Arial"/>
              </w:rPr>
              <w:t xml:space="preserve">£8M </w:t>
            </w:r>
          </w:p>
        </w:tc>
        <w:tc>
          <w:tcPr>
            <w:tcW w:w="1479" w:type="dxa"/>
          </w:tcPr>
          <w:p w14:paraId="2D42D0A8" w14:textId="77777777" w:rsidR="00030FE0" w:rsidRPr="0010150F" w:rsidRDefault="00030FE0" w:rsidP="00EC0D42">
            <w:pPr>
              <w:pStyle w:val="NoSpacing"/>
              <w:jc w:val="right"/>
              <w:rPr>
                <w:rFonts w:ascii="Arial" w:hAnsi="Arial" w:cs="Arial"/>
              </w:rPr>
            </w:pPr>
            <w:r w:rsidRPr="0010150F">
              <w:rPr>
                <w:rFonts w:ascii="Arial" w:hAnsi="Arial" w:cs="Arial"/>
              </w:rPr>
              <w:t>£1,132,635</w:t>
            </w:r>
          </w:p>
        </w:tc>
      </w:tr>
      <w:tr w:rsidR="00030FE0" w:rsidRPr="0010150F" w14:paraId="5CDE5040" w14:textId="77777777" w:rsidTr="00EC0D42">
        <w:tc>
          <w:tcPr>
            <w:tcW w:w="2137" w:type="dxa"/>
          </w:tcPr>
          <w:p w14:paraId="28834AB9" w14:textId="77777777" w:rsidR="00030FE0" w:rsidRPr="0010150F" w:rsidRDefault="00030FE0" w:rsidP="00EC0D42">
            <w:pPr>
              <w:pStyle w:val="NoSpacing"/>
              <w:rPr>
                <w:rFonts w:ascii="Arial" w:hAnsi="Arial" w:cs="Arial"/>
              </w:rPr>
            </w:pPr>
            <w:r w:rsidRPr="0010150F">
              <w:rPr>
                <w:rFonts w:ascii="Arial" w:hAnsi="Arial" w:cs="Arial"/>
              </w:rPr>
              <w:t>Bellamy Estate Regeneration</w:t>
            </w:r>
          </w:p>
        </w:tc>
        <w:tc>
          <w:tcPr>
            <w:tcW w:w="2678" w:type="dxa"/>
          </w:tcPr>
          <w:p w14:paraId="4FD65AAC" w14:textId="77777777" w:rsidR="00030FE0" w:rsidRPr="0010150F" w:rsidRDefault="00030FE0" w:rsidP="00EC0D42">
            <w:pPr>
              <w:pStyle w:val="NoSpacing"/>
              <w:rPr>
                <w:rFonts w:ascii="Arial" w:hAnsi="Arial" w:cs="Arial"/>
              </w:rPr>
            </w:pPr>
            <w:r>
              <w:rPr>
                <w:rFonts w:ascii="Arial" w:hAnsi="Arial" w:cs="Arial"/>
              </w:rPr>
              <w:t>Complete Autumn 25</w:t>
            </w:r>
          </w:p>
        </w:tc>
        <w:tc>
          <w:tcPr>
            <w:tcW w:w="1417" w:type="dxa"/>
          </w:tcPr>
          <w:p w14:paraId="6D614C8D" w14:textId="77777777" w:rsidR="00030FE0" w:rsidRPr="0010150F" w:rsidRDefault="00030FE0" w:rsidP="00EC0D42">
            <w:pPr>
              <w:pStyle w:val="NoSpacing"/>
              <w:rPr>
                <w:rFonts w:ascii="Arial" w:hAnsi="Arial" w:cs="Arial"/>
              </w:rPr>
            </w:pPr>
            <w:r w:rsidRPr="0010150F">
              <w:rPr>
                <w:rFonts w:ascii="Arial" w:hAnsi="Arial" w:cs="Arial"/>
              </w:rPr>
              <w:t>CRP</w:t>
            </w:r>
            <w:r>
              <w:rPr>
                <w:rStyle w:val="FootnoteReference"/>
                <w:rFonts w:ascii="Arial" w:hAnsi="Arial" w:cs="Arial"/>
              </w:rPr>
              <w:footnoteReference w:id="5"/>
            </w:r>
          </w:p>
        </w:tc>
        <w:tc>
          <w:tcPr>
            <w:tcW w:w="2410" w:type="dxa"/>
          </w:tcPr>
          <w:p w14:paraId="48C2B5C8" w14:textId="49EEF92A" w:rsidR="00030FE0" w:rsidRPr="0010150F" w:rsidRDefault="00030FE0" w:rsidP="00EC0D42">
            <w:pPr>
              <w:pStyle w:val="NoSpacing"/>
              <w:jc w:val="right"/>
              <w:rPr>
                <w:rFonts w:ascii="Arial" w:hAnsi="Arial" w:cs="Arial"/>
              </w:rPr>
            </w:pPr>
            <w:r w:rsidRPr="0010150F">
              <w:rPr>
                <w:rFonts w:ascii="Arial" w:hAnsi="Arial" w:cs="Arial"/>
              </w:rPr>
              <w:t>£</w:t>
            </w:r>
            <w:r w:rsidR="003B4DF1">
              <w:rPr>
                <w:rFonts w:ascii="Arial" w:hAnsi="Arial" w:cs="Arial"/>
              </w:rPr>
              <w:t>2</w:t>
            </w:r>
            <w:r w:rsidRPr="0010150F">
              <w:rPr>
                <w:rFonts w:ascii="Arial" w:hAnsi="Arial" w:cs="Arial"/>
              </w:rPr>
              <w:t>,000,000</w:t>
            </w:r>
          </w:p>
        </w:tc>
        <w:tc>
          <w:tcPr>
            <w:tcW w:w="1968" w:type="dxa"/>
          </w:tcPr>
          <w:p w14:paraId="70C49D88" w14:textId="77777777" w:rsidR="00030FE0" w:rsidRPr="0010150F" w:rsidRDefault="00030FE0" w:rsidP="00EC0D42">
            <w:pPr>
              <w:pStyle w:val="NoSpacing"/>
              <w:jc w:val="right"/>
              <w:rPr>
                <w:rFonts w:ascii="Arial" w:hAnsi="Arial" w:cs="Arial"/>
              </w:rPr>
            </w:pPr>
            <w:r w:rsidRPr="0010150F">
              <w:rPr>
                <w:rFonts w:ascii="Arial" w:hAnsi="Arial" w:cs="Arial"/>
              </w:rPr>
              <w:t>£8,840,159</w:t>
            </w:r>
          </w:p>
        </w:tc>
        <w:tc>
          <w:tcPr>
            <w:tcW w:w="1859" w:type="dxa"/>
          </w:tcPr>
          <w:p w14:paraId="41DC6F7B" w14:textId="77777777" w:rsidR="00030FE0" w:rsidRPr="0010150F" w:rsidRDefault="00030FE0" w:rsidP="00EC0D42">
            <w:pPr>
              <w:pStyle w:val="NoSpacing"/>
              <w:jc w:val="right"/>
              <w:rPr>
                <w:rFonts w:ascii="Arial" w:hAnsi="Arial" w:cs="Arial"/>
              </w:rPr>
            </w:pPr>
            <w:r w:rsidRPr="0010150F">
              <w:rPr>
                <w:rFonts w:ascii="Arial" w:hAnsi="Arial" w:cs="Arial"/>
              </w:rPr>
              <w:t>£8,</w:t>
            </w:r>
            <w:r>
              <w:rPr>
                <w:rFonts w:ascii="Arial" w:hAnsi="Arial" w:cs="Arial"/>
              </w:rPr>
              <w:t>840,159</w:t>
            </w:r>
          </w:p>
        </w:tc>
        <w:tc>
          <w:tcPr>
            <w:tcW w:w="1479" w:type="dxa"/>
          </w:tcPr>
          <w:p w14:paraId="40AD8BF0" w14:textId="77777777" w:rsidR="00030FE0" w:rsidRPr="0010150F" w:rsidRDefault="00030FE0" w:rsidP="00EC0D42">
            <w:pPr>
              <w:pStyle w:val="NoSpacing"/>
              <w:jc w:val="right"/>
              <w:rPr>
                <w:rFonts w:ascii="Arial" w:hAnsi="Arial" w:cs="Arial"/>
              </w:rPr>
            </w:pPr>
            <w:r w:rsidRPr="0010150F">
              <w:rPr>
                <w:rFonts w:ascii="Arial" w:hAnsi="Arial" w:cs="Arial"/>
              </w:rPr>
              <w:t>£8,784,846</w:t>
            </w:r>
          </w:p>
        </w:tc>
      </w:tr>
      <w:tr w:rsidR="00030FE0" w:rsidRPr="0010150F" w14:paraId="7652D563" w14:textId="77777777" w:rsidTr="00EC0D42">
        <w:tc>
          <w:tcPr>
            <w:tcW w:w="2137" w:type="dxa"/>
          </w:tcPr>
          <w:p w14:paraId="57B98DD3" w14:textId="77777777" w:rsidR="00030FE0" w:rsidRPr="0010150F" w:rsidRDefault="00030FE0" w:rsidP="00EC0D42">
            <w:pPr>
              <w:pStyle w:val="NoSpacing"/>
              <w:rPr>
                <w:rFonts w:ascii="Arial" w:hAnsi="Arial" w:cs="Arial"/>
              </w:rPr>
            </w:pPr>
            <w:r w:rsidRPr="0010150F">
              <w:rPr>
                <w:rFonts w:ascii="Arial" w:hAnsi="Arial" w:cs="Arial"/>
              </w:rPr>
              <w:t xml:space="preserve">South Mansfield </w:t>
            </w:r>
          </w:p>
          <w:p w14:paraId="0482CB0C" w14:textId="77777777" w:rsidR="00030FE0" w:rsidRPr="0010150F" w:rsidRDefault="00030FE0" w:rsidP="00EC0D42">
            <w:pPr>
              <w:pStyle w:val="NoSpacing"/>
              <w:rPr>
                <w:rFonts w:ascii="Arial" w:hAnsi="Arial" w:cs="Arial"/>
              </w:rPr>
            </w:pPr>
            <w:r w:rsidRPr="0010150F">
              <w:rPr>
                <w:rFonts w:ascii="Arial" w:hAnsi="Arial" w:cs="Arial"/>
              </w:rPr>
              <w:t>Family Hubs (NCC)</w:t>
            </w:r>
          </w:p>
        </w:tc>
        <w:tc>
          <w:tcPr>
            <w:tcW w:w="2678" w:type="dxa"/>
          </w:tcPr>
          <w:p w14:paraId="28B43459" w14:textId="77777777" w:rsidR="00030FE0" w:rsidRPr="0010150F" w:rsidRDefault="00030FE0" w:rsidP="00EC0D42">
            <w:pPr>
              <w:pStyle w:val="NoSpacing"/>
              <w:rPr>
                <w:rFonts w:ascii="Arial" w:hAnsi="Arial" w:cs="Arial"/>
              </w:rPr>
            </w:pPr>
            <w:r w:rsidRPr="0010150F">
              <w:rPr>
                <w:rFonts w:ascii="Arial" w:hAnsi="Arial" w:cs="Arial"/>
              </w:rPr>
              <w:t>2 locations – Oak Tree / Ravensdale</w:t>
            </w:r>
          </w:p>
        </w:tc>
        <w:tc>
          <w:tcPr>
            <w:tcW w:w="1417" w:type="dxa"/>
          </w:tcPr>
          <w:p w14:paraId="2448FB86" w14:textId="77777777" w:rsidR="00030FE0" w:rsidRPr="0010150F" w:rsidRDefault="00030FE0" w:rsidP="00EC0D42">
            <w:pPr>
              <w:pStyle w:val="NoSpacing"/>
              <w:rPr>
                <w:rFonts w:ascii="Arial" w:hAnsi="Arial" w:cs="Arial"/>
              </w:rPr>
            </w:pPr>
            <w:r w:rsidRPr="0010150F">
              <w:rPr>
                <w:rFonts w:ascii="Arial" w:hAnsi="Arial" w:cs="Arial"/>
              </w:rPr>
              <w:t>CRP</w:t>
            </w:r>
          </w:p>
        </w:tc>
        <w:tc>
          <w:tcPr>
            <w:tcW w:w="2410" w:type="dxa"/>
          </w:tcPr>
          <w:p w14:paraId="1EE5F835" w14:textId="77777777" w:rsidR="00030FE0" w:rsidRPr="0010150F" w:rsidRDefault="00030FE0" w:rsidP="00EC0D42">
            <w:pPr>
              <w:pStyle w:val="NoSpacing"/>
              <w:jc w:val="right"/>
              <w:rPr>
                <w:rFonts w:ascii="Arial" w:hAnsi="Arial" w:cs="Arial"/>
              </w:rPr>
            </w:pPr>
            <w:r w:rsidRPr="0010150F">
              <w:rPr>
                <w:rFonts w:ascii="Arial" w:hAnsi="Arial" w:cs="Arial"/>
              </w:rPr>
              <w:t>£300,000</w:t>
            </w:r>
          </w:p>
        </w:tc>
        <w:tc>
          <w:tcPr>
            <w:tcW w:w="1968" w:type="dxa"/>
          </w:tcPr>
          <w:p w14:paraId="776FC964" w14:textId="77777777" w:rsidR="00030FE0" w:rsidRPr="0010150F" w:rsidRDefault="00030FE0" w:rsidP="00EC0D42">
            <w:pPr>
              <w:pStyle w:val="NoSpacing"/>
              <w:jc w:val="right"/>
              <w:rPr>
                <w:rFonts w:ascii="Arial" w:hAnsi="Arial" w:cs="Arial"/>
              </w:rPr>
            </w:pPr>
            <w:r w:rsidRPr="0010150F">
              <w:rPr>
                <w:rFonts w:ascii="Arial" w:hAnsi="Arial" w:cs="Arial"/>
              </w:rPr>
              <w:t>-</w:t>
            </w:r>
          </w:p>
        </w:tc>
        <w:tc>
          <w:tcPr>
            <w:tcW w:w="1859" w:type="dxa"/>
          </w:tcPr>
          <w:p w14:paraId="168DEDC1" w14:textId="77777777" w:rsidR="00030FE0" w:rsidRPr="0010150F" w:rsidRDefault="00030FE0" w:rsidP="00EC0D42">
            <w:pPr>
              <w:pStyle w:val="NoSpacing"/>
              <w:jc w:val="right"/>
              <w:rPr>
                <w:rFonts w:ascii="Arial" w:hAnsi="Arial" w:cs="Arial"/>
              </w:rPr>
            </w:pPr>
            <w:r w:rsidRPr="0010150F">
              <w:rPr>
                <w:rFonts w:ascii="Arial" w:hAnsi="Arial" w:cs="Arial"/>
              </w:rPr>
              <w:t>-</w:t>
            </w:r>
          </w:p>
        </w:tc>
        <w:tc>
          <w:tcPr>
            <w:tcW w:w="1479" w:type="dxa"/>
          </w:tcPr>
          <w:p w14:paraId="5DE6B24B" w14:textId="77777777" w:rsidR="00030FE0" w:rsidRPr="0010150F" w:rsidRDefault="00030FE0" w:rsidP="00EC0D42">
            <w:pPr>
              <w:pStyle w:val="NoSpacing"/>
              <w:jc w:val="right"/>
              <w:rPr>
                <w:rFonts w:ascii="Arial" w:hAnsi="Arial" w:cs="Arial"/>
              </w:rPr>
            </w:pPr>
            <w:r w:rsidRPr="0010150F">
              <w:rPr>
                <w:rFonts w:ascii="Arial" w:hAnsi="Arial" w:cs="Arial"/>
              </w:rPr>
              <w:t>-</w:t>
            </w:r>
          </w:p>
        </w:tc>
      </w:tr>
      <w:tr w:rsidR="00030FE0" w:rsidRPr="0010150F" w14:paraId="3E5F16D4" w14:textId="77777777" w:rsidTr="00EC0D42">
        <w:tc>
          <w:tcPr>
            <w:tcW w:w="2137" w:type="dxa"/>
          </w:tcPr>
          <w:p w14:paraId="62D1379D" w14:textId="77777777" w:rsidR="00030FE0" w:rsidRPr="0010150F" w:rsidRDefault="00030FE0" w:rsidP="00EC0D42">
            <w:pPr>
              <w:pStyle w:val="NoSpacing"/>
              <w:rPr>
                <w:rFonts w:ascii="Arial" w:hAnsi="Arial" w:cs="Arial"/>
              </w:rPr>
            </w:pPr>
            <w:r w:rsidRPr="0010150F">
              <w:rPr>
                <w:rFonts w:ascii="Arial" w:hAnsi="Arial" w:cs="Arial"/>
              </w:rPr>
              <w:t>Getting Ready Pilot</w:t>
            </w:r>
          </w:p>
        </w:tc>
        <w:tc>
          <w:tcPr>
            <w:tcW w:w="2678" w:type="dxa"/>
          </w:tcPr>
          <w:p w14:paraId="0F4F7D98" w14:textId="77777777" w:rsidR="00030FE0" w:rsidRPr="0010150F" w:rsidRDefault="00030FE0" w:rsidP="00EC0D42">
            <w:pPr>
              <w:pStyle w:val="NoSpacing"/>
              <w:rPr>
                <w:rFonts w:ascii="Arial" w:hAnsi="Arial" w:cs="Arial"/>
              </w:rPr>
            </w:pPr>
            <w:r w:rsidRPr="0010150F">
              <w:rPr>
                <w:rFonts w:ascii="Arial" w:hAnsi="Arial" w:cs="Arial"/>
              </w:rPr>
              <w:t>Funding transferred to NTU</w:t>
            </w:r>
          </w:p>
        </w:tc>
        <w:tc>
          <w:tcPr>
            <w:tcW w:w="1417" w:type="dxa"/>
          </w:tcPr>
          <w:p w14:paraId="7791F7D9" w14:textId="77777777" w:rsidR="00030FE0" w:rsidRPr="0010150F" w:rsidRDefault="00030FE0" w:rsidP="00EC0D42">
            <w:pPr>
              <w:pStyle w:val="NoSpacing"/>
              <w:rPr>
                <w:rFonts w:ascii="Arial" w:hAnsi="Arial" w:cs="Arial"/>
              </w:rPr>
            </w:pPr>
            <w:r w:rsidRPr="0010150F">
              <w:rPr>
                <w:rFonts w:ascii="Arial" w:hAnsi="Arial" w:cs="Arial"/>
              </w:rPr>
              <w:t>CRP</w:t>
            </w:r>
          </w:p>
        </w:tc>
        <w:tc>
          <w:tcPr>
            <w:tcW w:w="2410" w:type="dxa"/>
          </w:tcPr>
          <w:p w14:paraId="35DE328C" w14:textId="77777777" w:rsidR="00030FE0" w:rsidRPr="0010150F" w:rsidRDefault="00030FE0" w:rsidP="00EC0D42">
            <w:pPr>
              <w:pStyle w:val="NoSpacing"/>
              <w:jc w:val="right"/>
              <w:rPr>
                <w:rFonts w:ascii="Arial" w:hAnsi="Arial" w:cs="Arial"/>
              </w:rPr>
            </w:pPr>
            <w:r w:rsidRPr="0010150F">
              <w:rPr>
                <w:rFonts w:ascii="Arial" w:hAnsi="Arial" w:cs="Arial"/>
              </w:rPr>
              <w:t>£250,000</w:t>
            </w:r>
          </w:p>
        </w:tc>
        <w:tc>
          <w:tcPr>
            <w:tcW w:w="1968" w:type="dxa"/>
          </w:tcPr>
          <w:p w14:paraId="2846024C" w14:textId="77777777" w:rsidR="00030FE0" w:rsidRPr="0010150F" w:rsidRDefault="00030FE0" w:rsidP="00EC0D42">
            <w:pPr>
              <w:pStyle w:val="NoSpacing"/>
              <w:jc w:val="right"/>
              <w:rPr>
                <w:rFonts w:ascii="Arial" w:hAnsi="Arial" w:cs="Arial"/>
              </w:rPr>
            </w:pPr>
            <w:r w:rsidRPr="0010150F">
              <w:rPr>
                <w:rFonts w:ascii="Arial" w:hAnsi="Arial" w:cs="Arial"/>
              </w:rPr>
              <w:t>£250,000</w:t>
            </w:r>
          </w:p>
        </w:tc>
        <w:tc>
          <w:tcPr>
            <w:tcW w:w="1859" w:type="dxa"/>
          </w:tcPr>
          <w:p w14:paraId="20D2E47E" w14:textId="77777777" w:rsidR="00030FE0" w:rsidRPr="0010150F" w:rsidRDefault="00030FE0" w:rsidP="00EC0D42">
            <w:pPr>
              <w:pStyle w:val="NoSpacing"/>
              <w:jc w:val="right"/>
              <w:rPr>
                <w:rFonts w:ascii="Arial" w:hAnsi="Arial" w:cs="Arial"/>
              </w:rPr>
            </w:pPr>
            <w:r w:rsidRPr="0010150F">
              <w:rPr>
                <w:rFonts w:ascii="Arial" w:hAnsi="Arial" w:cs="Arial"/>
              </w:rPr>
              <w:t>£250,000</w:t>
            </w:r>
          </w:p>
        </w:tc>
        <w:tc>
          <w:tcPr>
            <w:tcW w:w="1479" w:type="dxa"/>
          </w:tcPr>
          <w:p w14:paraId="5594892B" w14:textId="77777777" w:rsidR="00030FE0" w:rsidRPr="0010150F" w:rsidRDefault="00030FE0" w:rsidP="00EC0D42">
            <w:pPr>
              <w:pStyle w:val="NoSpacing"/>
              <w:jc w:val="right"/>
              <w:rPr>
                <w:rFonts w:ascii="Arial" w:hAnsi="Arial" w:cs="Arial"/>
              </w:rPr>
            </w:pPr>
            <w:r w:rsidRPr="0010150F">
              <w:rPr>
                <w:rFonts w:ascii="Arial" w:hAnsi="Arial" w:cs="Arial"/>
              </w:rPr>
              <w:t>£250,000</w:t>
            </w:r>
          </w:p>
        </w:tc>
      </w:tr>
      <w:tr w:rsidR="00030FE0" w:rsidRPr="0010150F" w14:paraId="7795FB86" w14:textId="77777777" w:rsidTr="00EC0D42">
        <w:tc>
          <w:tcPr>
            <w:tcW w:w="2137" w:type="dxa"/>
          </w:tcPr>
          <w:p w14:paraId="60FBA58B" w14:textId="77777777" w:rsidR="00030FE0" w:rsidRPr="0010150F" w:rsidRDefault="00030FE0" w:rsidP="00EC0D42">
            <w:pPr>
              <w:pStyle w:val="NoSpacing"/>
              <w:rPr>
                <w:rFonts w:ascii="Arial" w:hAnsi="Arial" w:cs="Arial"/>
              </w:rPr>
            </w:pPr>
            <w:r w:rsidRPr="0010150F">
              <w:rPr>
                <w:rFonts w:ascii="Arial" w:hAnsi="Arial" w:cs="Arial"/>
              </w:rPr>
              <w:t>Youth Investment Project (NCC)</w:t>
            </w:r>
          </w:p>
        </w:tc>
        <w:tc>
          <w:tcPr>
            <w:tcW w:w="2678" w:type="dxa"/>
          </w:tcPr>
          <w:p w14:paraId="310AC03B" w14:textId="77777777" w:rsidR="00030FE0" w:rsidRPr="0010150F" w:rsidRDefault="00030FE0" w:rsidP="00EC0D42">
            <w:pPr>
              <w:pStyle w:val="NoSpacing"/>
              <w:rPr>
                <w:rFonts w:ascii="Arial" w:hAnsi="Arial" w:cs="Arial"/>
              </w:rPr>
            </w:pPr>
            <w:r w:rsidRPr="0010150F">
              <w:rPr>
                <w:rFonts w:ascii="Arial" w:hAnsi="Arial" w:cs="Arial"/>
              </w:rPr>
              <w:t>Development and options stage</w:t>
            </w:r>
          </w:p>
        </w:tc>
        <w:tc>
          <w:tcPr>
            <w:tcW w:w="1417" w:type="dxa"/>
          </w:tcPr>
          <w:p w14:paraId="047D5F25" w14:textId="77777777" w:rsidR="00030FE0" w:rsidRPr="0010150F" w:rsidRDefault="00030FE0" w:rsidP="00EC0D42">
            <w:pPr>
              <w:pStyle w:val="NoSpacing"/>
              <w:rPr>
                <w:rFonts w:ascii="Arial" w:hAnsi="Arial" w:cs="Arial"/>
              </w:rPr>
            </w:pPr>
            <w:r w:rsidRPr="0010150F">
              <w:rPr>
                <w:rFonts w:ascii="Arial" w:hAnsi="Arial" w:cs="Arial"/>
              </w:rPr>
              <w:t>CRP</w:t>
            </w:r>
          </w:p>
        </w:tc>
        <w:tc>
          <w:tcPr>
            <w:tcW w:w="2410" w:type="dxa"/>
          </w:tcPr>
          <w:p w14:paraId="58B7BB66" w14:textId="77777777" w:rsidR="00030FE0" w:rsidRPr="0010150F" w:rsidRDefault="00030FE0" w:rsidP="00EC0D42">
            <w:pPr>
              <w:pStyle w:val="NoSpacing"/>
              <w:jc w:val="right"/>
              <w:rPr>
                <w:rFonts w:ascii="Arial" w:hAnsi="Arial" w:cs="Arial"/>
              </w:rPr>
            </w:pPr>
            <w:r w:rsidRPr="0010150F">
              <w:rPr>
                <w:rFonts w:ascii="Arial" w:hAnsi="Arial" w:cs="Arial"/>
              </w:rPr>
              <w:t>£3,200,000</w:t>
            </w:r>
          </w:p>
        </w:tc>
        <w:tc>
          <w:tcPr>
            <w:tcW w:w="1968" w:type="dxa"/>
          </w:tcPr>
          <w:p w14:paraId="1B9D114C" w14:textId="77777777" w:rsidR="00030FE0" w:rsidRPr="0010150F" w:rsidRDefault="00030FE0" w:rsidP="00EC0D42">
            <w:pPr>
              <w:pStyle w:val="NoSpacing"/>
              <w:jc w:val="right"/>
              <w:rPr>
                <w:rFonts w:ascii="Arial" w:hAnsi="Arial" w:cs="Arial"/>
              </w:rPr>
            </w:pPr>
            <w:r w:rsidRPr="0010150F">
              <w:rPr>
                <w:rFonts w:ascii="Arial" w:hAnsi="Arial" w:cs="Arial"/>
              </w:rPr>
              <w:t>£3,200,000</w:t>
            </w:r>
          </w:p>
        </w:tc>
        <w:tc>
          <w:tcPr>
            <w:tcW w:w="1859" w:type="dxa"/>
          </w:tcPr>
          <w:p w14:paraId="73AD50E5" w14:textId="77777777" w:rsidR="00030FE0" w:rsidRPr="0010150F" w:rsidRDefault="00030FE0" w:rsidP="00EC0D42">
            <w:pPr>
              <w:pStyle w:val="NoSpacing"/>
              <w:jc w:val="right"/>
              <w:rPr>
                <w:rFonts w:ascii="Arial" w:hAnsi="Arial" w:cs="Arial"/>
              </w:rPr>
            </w:pPr>
            <w:r w:rsidRPr="0010150F">
              <w:rPr>
                <w:rFonts w:ascii="Arial" w:hAnsi="Arial" w:cs="Arial"/>
              </w:rPr>
              <w:t>£3,200,000</w:t>
            </w:r>
          </w:p>
        </w:tc>
        <w:tc>
          <w:tcPr>
            <w:tcW w:w="1479" w:type="dxa"/>
          </w:tcPr>
          <w:p w14:paraId="5B055B8C" w14:textId="77777777" w:rsidR="00030FE0" w:rsidRPr="0010150F" w:rsidRDefault="00030FE0" w:rsidP="00EC0D42">
            <w:pPr>
              <w:pStyle w:val="NoSpacing"/>
              <w:jc w:val="right"/>
              <w:rPr>
                <w:rFonts w:ascii="Arial" w:hAnsi="Arial" w:cs="Arial"/>
              </w:rPr>
            </w:pPr>
            <w:r w:rsidRPr="0010150F">
              <w:rPr>
                <w:rFonts w:ascii="Arial" w:hAnsi="Arial" w:cs="Arial"/>
              </w:rPr>
              <w:t>-</w:t>
            </w:r>
          </w:p>
        </w:tc>
      </w:tr>
      <w:tr w:rsidR="00030FE0" w:rsidRPr="0010150F" w14:paraId="385AC3FD" w14:textId="77777777" w:rsidTr="00EC0D42">
        <w:tc>
          <w:tcPr>
            <w:tcW w:w="2137" w:type="dxa"/>
          </w:tcPr>
          <w:p w14:paraId="4FDF3293" w14:textId="77777777" w:rsidR="00030FE0" w:rsidRPr="0010150F" w:rsidRDefault="00030FE0" w:rsidP="00EC0D42">
            <w:pPr>
              <w:pStyle w:val="NoSpacing"/>
              <w:rPr>
                <w:rFonts w:ascii="Arial" w:hAnsi="Arial" w:cs="Arial"/>
              </w:rPr>
            </w:pPr>
            <w:r w:rsidRPr="0010150F">
              <w:rPr>
                <w:rFonts w:ascii="Arial" w:hAnsi="Arial" w:cs="Arial"/>
              </w:rPr>
              <w:t>Streetscaping</w:t>
            </w:r>
          </w:p>
        </w:tc>
        <w:tc>
          <w:tcPr>
            <w:tcW w:w="2678" w:type="dxa"/>
          </w:tcPr>
          <w:p w14:paraId="40A404A6" w14:textId="77777777" w:rsidR="00030FE0" w:rsidRPr="0010150F" w:rsidRDefault="00030FE0" w:rsidP="00EC0D42">
            <w:pPr>
              <w:pStyle w:val="NoSpacing"/>
              <w:rPr>
                <w:rFonts w:ascii="Arial" w:hAnsi="Arial" w:cs="Arial"/>
              </w:rPr>
            </w:pPr>
            <w:r w:rsidRPr="0010150F">
              <w:rPr>
                <w:rFonts w:ascii="Arial" w:hAnsi="Arial" w:cs="Arial"/>
              </w:rPr>
              <w:t>Concept planning completed / project management appointed</w:t>
            </w:r>
          </w:p>
        </w:tc>
        <w:tc>
          <w:tcPr>
            <w:tcW w:w="1417" w:type="dxa"/>
          </w:tcPr>
          <w:p w14:paraId="6F532693" w14:textId="77777777" w:rsidR="00030FE0" w:rsidRPr="0010150F" w:rsidRDefault="00030FE0" w:rsidP="00EC0D42">
            <w:pPr>
              <w:pStyle w:val="NoSpacing"/>
              <w:rPr>
                <w:rFonts w:ascii="Arial" w:hAnsi="Arial" w:cs="Arial"/>
              </w:rPr>
            </w:pPr>
            <w:r w:rsidRPr="0010150F">
              <w:rPr>
                <w:rFonts w:ascii="Arial" w:hAnsi="Arial" w:cs="Arial"/>
              </w:rPr>
              <w:t>CRP</w:t>
            </w:r>
          </w:p>
        </w:tc>
        <w:tc>
          <w:tcPr>
            <w:tcW w:w="2410" w:type="dxa"/>
          </w:tcPr>
          <w:p w14:paraId="63FBC02C" w14:textId="77777777" w:rsidR="00030FE0" w:rsidRPr="0010150F" w:rsidRDefault="00030FE0" w:rsidP="00EC0D42">
            <w:pPr>
              <w:pStyle w:val="NoSpacing"/>
              <w:jc w:val="right"/>
              <w:rPr>
                <w:rFonts w:ascii="Arial" w:hAnsi="Arial" w:cs="Arial"/>
              </w:rPr>
            </w:pPr>
            <w:r w:rsidRPr="0010150F">
              <w:rPr>
                <w:rFonts w:ascii="Arial" w:hAnsi="Arial" w:cs="Arial"/>
              </w:rPr>
              <w:t>£2,000,000</w:t>
            </w:r>
          </w:p>
        </w:tc>
        <w:tc>
          <w:tcPr>
            <w:tcW w:w="1968" w:type="dxa"/>
          </w:tcPr>
          <w:p w14:paraId="4C08520B" w14:textId="77777777" w:rsidR="00030FE0" w:rsidRPr="0010150F" w:rsidRDefault="00030FE0" w:rsidP="00EC0D42">
            <w:pPr>
              <w:pStyle w:val="NoSpacing"/>
              <w:jc w:val="right"/>
              <w:rPr>
                <w:rFonts w:ascii="Arial" w:hAnsi="Arial" w:cs="Arial"/>
              </w:rPr>
            </w:pPr>
            <w:r w:rsidRPr="0010150F">
              <w:rPr>
                <w:rFonts w:ascii="Arial" w:hAnsi="Arial" w:cs="Arial"/>
              </w:rPr>
              <w:t>£2,170,000</w:t>
            </w:r>
          </w:p>
        </w:tc>
        <w:tc>
          <w:tcPr>
            <w:tcW w:w="1859" w:type="dxa"/>
          </w:tcPr>
          <w:p w14:paraId="764045B6" w14:textId="77777777" w:rsidR="00030FE0" w:rsidRPr="0010150F" w:rsidRDefault="00030FE0" w:rsidP="00EC0D42">
            <w:pPr>
              <w:pStyle w:val="NoSpacing"/>
              <w:jc w:val="right"/>
              <w:rPr>
                <w:rFonts w:ascii="Arial" w:hAnsi="Arial" w:cs="Arial"/>
              </w:rPr>
            </w:pPr>
            <w:r w:rsidRPr="0010150F">
              <w:rPr>
                <w:rFonts w:ascii="Arial" w:hAnsi="Arial" w:cs="Arial"/>
              </w:rPr>
              <w:t>£2,170,000</w:t>
            </w:r>
          </w:p>
        </w:tc>
        <w:tc>
          <w:tcPr>
            <w:tcW w:w="1479" w:type="dxa"/>
          </w:tcPr>
          <w:p w14:paraId="1ABF4F88" w14:textId="77777777" w:rsidR="00030FE0" w:rsidRPr="0010150F" w:rsidRDefault="00030FE0" w:rsidP="00EC0D42">
            <w:pPr>
              <w:pStyle w:val="NoSpacing"/>
              <w:jc w:val="right"/>
              <w:rPr>
                <w:rFonts w:ascii="Arial" w:hAnsi="Arial" w:cs="Arial"/>
              </w:rPr>
            </w:pPr>
            <w:r w:rsidRPr="0010150F">
              <w:rPr>
                <w:rFonts w:ascii="Arial" w:hAnsi="Arial" w:cs="Arial"/>
              </w:rPr>
              <w:t>£5,000</w:t>
            </w:r>
          </w:p>
        </w:tc>
      </w:tr>
      <w:tr w:rsidR="00030FE0" w:rsidRPr="0010150F" w14:paraId="3D094FDA" w14:textId="77777777" w:rsidTr="00EC0D42">
        <w:tc>
          <w:tcPr>
            <w:tcW w:w="2137" w:type="dxa"/>
          </w:tcPr>
          <w:p w14:paraId="0D1D8180" w14:textId="77777777" w:rsidR="00030FE0" w:rsidRPr="0010150F" w:rsidRDefault="00030FE0" w:rsidP="00EC0D42">
            <w:pPr>
              <w:pStyle w:val="NoSpacing"/>
              <w:rPr>
                <w:rFonts w:ascii="Arial" w:hAnsi="Arial" w:cs="Arial"/>
              </w:rPr>
            </w:pPr>
            <w:r w:rsidRPr="0010150F">
              <w:rPr>
                <w:rFonts w:ascii="Arial" w:hAnsi="Arial" w:cs="Arial"/>
              </w:rPr>
              <w:lastRenderedPageBreak/>
              <w:t>Sainsbury’s Junction (NCC)</w:t>
            </w:r>
          </w:p>
        </w:tc>
        <w:tc>
          <w:tcPr>
            <w:tcW w:w="2678" w:type="dxa"/>
          </w:tcPr>
          <w:p w14:paraId="3FFDD501" w14:textId="77777777" w:rsidR="00030FE0" w:rsidRPr="0010150F" w:rsidRDefault="00030FE0" w:rsidP="00EC0D42">
            <w:pPr>
              <w:pStyle w:val="NoSpacing"/>
              <w:rPr>
                <w:rFonts w:ascii="Arial" w:hAnsi="Arial" w:cs="Arial"/>
              </w:rPr>
            </w:pPr>
            <w:r w:rsidRPr="0010150F">
              <w:rPr>
                <w:rFonts w:ascii="Arial" w:hAnsi="Arial" w:cs="Arial"/>
              </w:rPr>
              <w:t>Latest estimated costs due</w:t>
            </w:r>
          </w:p>
        </w:tc>
        <w:tc>
          <w:tcPr>
            <w:tcW w:w="1417" w:type="dxa"/>
          </w:tcPr>
          <w:p w14:paraId="07E16879" w14:textId="77777777" w:rsidR="00030FE0" w:rsidRPr="0010150F" w:rsidRDefault="00030FE0" w:rsidP="00EC0D42">
            <w:pPr>
              <w:pStyle w:val="NoSpacing"/>
              <w:rPr>
                <w:rFonts w:ascii="Arial" w:hAnsi="Arial" w:cs="Arial"/>
              </w:rPr>
            </w:pPr>
            <w:r w:rsidRPr="0010150F">
              <w:rPr>
                <w:rFonts w:ascii="Arial" w:hAnsi="Arial" w:cs="Arial"/>
              </w:rPr>
              <w:t>CRP</w:t>
            </w:r>
          </w:p>
        </w:tc>
        <w:tc>
          <w:tcPr>
            <w:tcW w:w="2410" w:type="dxa"/>
          </w:tcPr>
          <w:p w14:paraId="6D71AD04" w14:textId="77777777" w:rsidR="00030FE0" w:rsidRPr="0010150F" w:rsidRDefault="00030FE0" w:rsidP="00EC0D42">
            <w:pPr>
              <w:pStyle w:val="NoSpacing"/>
              <w:jc w:val="right"/>
              <w:rPr>
                <w:rFonts w:ascii="Arial" w:hAnsi="Arial" w:cs="Arial"/>
              </w:rPr>
            </w:pPr>
            <w:r w:rsidRPr="0010150F">
              <w:rPr>
                <w:rFonts w:ascii="Arial" w:hAnsi="Arial" w:cs="Arial"/>
              </w:rPr>
              <w:t>£2,000,000</w:t>
            </w:r>
          </w:p>
        </w:tc>
        <w:tc>
          <w:tcPr>
            <w:tcW w:w="1968" w:type="dxa"/>
          </w:tcPr>
          <w:p w14:paraId="3D076219" w14:textId="77777777" w:rsidR="00030FE0" w:rsidRPr="0010150F" w:rsidRDefault="00030FE0" w:rsidP="00EC0D42">
            <w:pPr>
              <w:pStyle w:val="NoSpacing"/>
              <w:jc w:val="right"/>
              <w:rPr>
                <w:rFonts w:ascii="Arial" w:hAnsi="Arial" w:cs="Arial"/>
              </w:rPr>
            </w:pPr>
            <w:r w:rsidRPr="0010150F">
              <w:rPr>
                <w:rFonts w:ascii="Arial" w:hAnsi="Arial" w:cs="Arial"/>
              </w:rPr>
              <w:t>-</w:t>
            </w:r>
          </w:p>
        </w:tc>
        <w:tc>
          <w:tcPr>
            <w:tcW w:w="1859" w:type="dxa"/>
          </w:tcPr>
          <w:p w14:paraId="5F4B256F" w14:textId="77777777" w:rsidR="00030FE0" w:rsidRPr="0010150F" w:rsidRDefault="00030FE0" w:rsidP="00EC0D42">
            <w:pPr>
              <w:pStyle w:val="NoSpacing"/>
              <w:jc w:val="right"/>
              <w:rPr>
                <w:rFonts w:ascii="Arial" w:hAnsi="Arial" w:cs="Arial"/>
              </w:rPr>
            </w:pPr>
            <w:r w:rsidRPr="0010150F">
              <w:rPr>
                <w:rFonts w:ascii="Arial" w:hAnsi="Arial" w:cs="Arial"/>
              </w:rPr>
              <w:t>-</w:t>
            </w:r>
          </w:p>
        </w:tc>
        <w:tc>
          <w:tcPr>
            <w:tcW w:w="1479" w:type="dxa"/>
          </w:tcPr>
          <w:p w14:paraId="60E7F0AF" w14:textId="77777777" w:rsidR="00030FE0" w:rsidRPr="0010150F" w:rsidRDefault="00030FE0" w:rsidP="00EC0D42">
            <w:pPr>
              <w:pStyle w:val="NoSpacing"/>
              <w:jc w:val="right"/>
              <w:rPr>
                <w:rFonts w:ascii="Arial" w:hAnsi="Arial" w:cs="Arial"/>
              </w:rPr>
            </w:pPr>
            <w:r w:rsidRPr="0010150F">
              <w:rPr>
                <w:rFonts w:ascii="Arial" w:hAnsi="Arial" w:cs="Arial"/>
              </w:rPr>
              <w:t>-</w:t>
            </w:r>
          </w:p>
        </w:tc>
      </w:tr>
    </w:tbl>
    <w:p w14:paraId="20CA57DA" w14:textId="77777777" w:rsidR="00F11512" w:rsidRPr="008A4056" w:rsidRDefault="00F11512" w:rsidP="00F73806">
      <w:pPr>
        <w:rPr>
          <w:rFonts w:ascii="Arial" w:hAnsi="Arial" w:cs="Arial"/>
          <w:sz w:val="24"/>
          <w:szCs w:val="24"/>
        </w:rPr>
      </w:pPr>
    </w:p>
    <w:sectPr w:rsidR="00F11512" w:rsidRPr="008A4056" w:rsidSect="003F587B">
      <w:pgSz w:w="16838" w:h="11906" w:orient="landscape"/>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BFB6" w14:textId="77777777" w:rsidR="006130C8" w:rsidRDefault="006130C8" w:rsidP="002A7ECE">
      <w:pPr>
        <w:spacing w:after="0" w:line="240" w:lineRule="auto"/>
      </w:pPr>
      <w:r>
        <w:separator/>
      </w:r>
    </w:p>
  </w:endnote>
  <w:endnote w:type="continuationSeparator" w:id="0">
    <w:p w14:paraId="16A95B29" w14:textId="77777777" w:rsidR="006130C8" w:rsidRDefault="006130C8" w:rsidP="002A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502714"/>
      <w:docPartObj>
        <w:docPartGallery w:val="Page Numbers (Bottom of Page)"/>
        <w:docPartUnique/>
      </w:docPartObj>
    </w:sdtPr>
    <w:sdtEndPr>
      <w:rPr>
        <w:rFonts w:ascii="Arial" w:hAnsi="Arial" w:cs="Arial"/>
        <w:noProof/>
        <w:sz w:val="24"/>
        <w:szCs w:val="24"/>
      </w:rPr>
    </w:sdtEndPr>
    <w:sdtContent>
      <w:p w14:paraId="1A7E72BF" w14:textId="2CF6D109" w:rsidR="002A7ECE" w:rsidRPr="002A7ECE" w:rsidRDefault="002A7ECE">
        <w:pPr>
          <w:pStyle w:val="Footer"/>
          <w:jc w:val="center"/>
          <w:rPr>
            <w:rFonts w:ascii="Arial" w:hAnsi="Arial" w:cs="Arial"/>
            <w:sz w:val="24"/>
            <w:szCs w:val="24"/>
          </w:rPr>
        </w:pPr>
        <w:r w:rsidRPr="002A7ECE">
          <w:rPr>
            <w:rFonts w:ascii="Arial" w:hAnsi="Arial" w:cs="Arial"/>
            <w:sz w:val="24"/>
            <w:szCs w:val="24"/>
          </w:rPr>
          <w:fldChar w:fldCharType="begin"/>
        </w:r>
        <w:r w:rsidRPr="002A7ECE">
          <w:rPr>
            <w:rFonts w:ascii="Arial" w:hAnsi="Arial" w:cs="Arial"/>
            <w:sz w:val="24"/>
            <w:szCs w:val="24"/>
          </w:rPr>
          <w:instrText xml:space="preserve"> PAGE   \* MERGEFORMAT </w:instrText>
        </w:r>
        <w:r w:rsidRPr="002A7ECE">
          <w:rPr>
            <w:rFonts w:ascii="Arial" w:hAnsi="Arial" w:cs="Arial"/>
            <w:sz w:val="24"/>
            <w:szCs w:val="24"/>
          </w:rPr>
          <w:fldChar w:fldCharType="separate"/>
        </w:r>
        <w:r w:rsidRPr="002A7ECE">
          <w:rPr>
            <w:rFonts w:ascii="Arial" w:hAnsi="Arial" w:cs="Arial"/>
            <w:noProof/>
            <w:sz w:val="24"/>
            <w:szCs w:val="24"/>
          </w:rPr>
          <w:t>2</w:t>
        </w:r>
        <w:r w:rsidRPr="002A7ECE">
          <w:rPr>
            <w:rFonts w:ascii="Arial" w:hAnsi="Arial" w:cs="Arial"/>
            <w:noProof/>
            <w:sz w:val="24"/>
            <w:szCs w:val="24"/>
          </w:rPr>
          <w:fldChar w:fldCharType="end"/>
        </w:r>
      </w:p>
    </w:sdtContent>
  </w:sdt>
  <w:p w14:paraId="0DC64069" w14:textId="77777777" w:rsidR="002A7ECE" w:rsidRDefault="002A7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5C9B" w14:textId="77777777" w:rsidR="006130C8" w:rsidRDefault="006130C8" w:rsidP="002A7ECE">
      <w:pPr>
        <w:spacing w:after="0" w:line="240" w:lineRule="auto"/>
      </w:pPr>
      <w:r>
        <w:separator/>
      </w:r>
    </w:p>
  </w:footnote>
  <w:footnote w:type="continuationSeparator" w:id="0">
    <w:p w14:paraId="4C8C8A25" w14:textId="77777777" w:rsidR="006130C8" w:rsidRDefault="006130C8" w:rsidP="002A7ECE">
      <w:pPr>
        <w:spacing w:after="0" w:line="240" w:lineRule="auto"/>
      </w:pPr>
      <w:r>
        <w:continuationSeparator/>
      </w:r>
    </w:p>
  </w:footnote>
  <w:footnote w:id="1">
    <w:p w14:paraId="789E66F3" w14:textId="77777777" w:rsidR="00030FE0" w:rsidRPr="0010150F" w:rsidRDefault="00030FE0" w:rsidP="00030FE0">
      <w:pPr>
        <w:pStyle w:val="FootnoteText"/>
        <w:rPr>
          <w:rFonts w:ascii="Arial" w:hAnsi="Arial" w:cs="Arial"/>
          <w:sz w:val="22"/>
          <w:szCs w:val="22"/>
        </w:rPr>
      </w:pPr>
      <w:r w:rsidRPr="0010150F">
        <w:rPr>
          <w:rStyle w:val="FootnoteReference"/>
          <w:rFonts w:ascii="Arial" w:hAnsi="Arial" w:cs="Arial"/>
          <w:sz w:val="22"/>
          <w:szCs w:val="22"/>
        </w:rPr>
        <w:footnoteRef/>
      </w:r>
      <w:r w:rsidRPr="0010150F">
        <w:rPr>
          <w:rFonts w:ascii="Arial" w:hAnsi="Arial" w:cs="Arial"/>
          <w:sz w:val="22"/>
          <w:szCs w:val="22"/>
        </w:rPr>
        <w:t xml:space="preserve"> All projects managed by MDC unless stated in brackets</w:t>
      </w:r>
    </w:p>
  </w:footnote>
  <w:footnote w:id="2">
    <w:p w14:paraId="6FE05E54" w14:textId="77777777" w:rsidR="00030FE0" w:rsidRPr="0010150F" w:rsidRDefault="00030FE0" w:rsidP="00030FE0">
      <w:pPr>
        <w:pStyle w:val="FootnoteText"/>
        <w:rPr>
          <w:rFonts w:ascii="Arial" w:hAnsi="Arial" w:cs="Arial"/>
          <w:sz w:val="22"/>
          <w:szCs w:val="22"/>
        </w:rPr>
      </w:pPr>
      <w:r w:rsidRPr="0010150F">
        <w:rPr>
          <w:rStyle w:val="FootnoteReference"/>
          <w:rFonts w:ascii="Arial" w:hAnsi="Arial" w:cs="Arial"/>
          <w:sz w:val="22"/>
          <w:szCs w:val="22"/>
        </w:rPr>
        <w:footnoteRef/>
      </w:r>
      <w:r w:rsidRPr="0010150F">
        <w:rPr>
          <w:rFonts w:ascii="Arial" w:hAnsi="Arial" w:cs="Arial"/>
          <w:sz w:val="22"/>
          <w:szCs w:val="22"/>
        </w:rPr>
        <w:t xml:space="preserve"> Based on the last returns to MHCLG plus projections to </w:t>
      </w:r>
      <w:proofErr w:type="gramStart"/>
      <w:r w:rsidRPr="0010150F">
        <w:rPr>
          <w:rFonts w:ascii="Arial" w:hAnsi="Arial" w:cs="Arial"/>
          <w:sz w:val="22"/>
          <w:szCs w:val="22"/>
        </w:rPr>
        <w:t>2024/25 year</w:t>
      </w:r>
      <w:proofErr w:type="gramEnd"/>
      <w:r w:rsidRPr="0010150F">
        <w:rPr>
          <w:rFonts w:ascii="Arial" w:hAnsi="Arial" w:cs="Arial"/>
          <w:sz w:val="22"/>
          <w:szCs w:val="22"/>
        </w:rPr>
        <w:t xml:space="preserve"> end</w:t>
      </w:r>
    </w:p>
  </w:footnote>
  <w:footnote w:id="3">
    <w:p w14:paraId="0D8FA5A5" w14:textId="77777777" w:rsidR="00030FE0" w:rsidRPr="0010150F" w:rsidRDefault="00030FE0" w:rsidP="00030FE0">
      <w:pPr>
        <w:pStyle w:val="FootnoteText"/>
        <w:rPr>
          <w:rFonts w:ascii="Arial" w:hAnsi="Arial" w:cs="Arial"/>
          <w:sz w:val="22"/>
          <w:szCs w:val="22"/>
        </w:rPr>
      </w:pPr>
      <w:r w:rsidRPr="0010150F">
        <w:rPr>
          <w:rStyle w:val="FootnoteReference"/>
          <w:rFonts w:ascii="Arial" w:hAnsi="Arial" w:cs="Arial"/>
          <w:sz w:val="22"/>
          <w:szCs w:val="22"/>
        </w:rPr>
        <w:footnoteRef/>
      </w:r>
      <w:r w:rsidRPr="0010150F">
        <w:rPr>
          <w:rFonts w:ascii="Arial" w:hAnsi="Arial" w:cs="Arial"/>
          <w:sz w:val="22"/>
          <w:szCs w:val="22"/>
        </w:rPr>
        <w:t xml:space="preserve"> The Towns Deal funding is managed through a claims process with part actual expenditure / part forecasting, maximising the grant </w:t>
      </w:r>
    </w:p>
  </w:footnote>
  <w:footnote w:id="4">
    <w:p w14:paraId="5AD2586C" w14:textId="77777777" w:rsidR="00030FE0" w:rsidRPr="0010150F" w:rsidRDefault="00030FE0" w:rsidP="00030FE0">
      <w:pPr>
        <w:pStyle w:val="FootnoteText"/>
        <w:rPr>
          <w:rFonts w:ascii="Arial" w:hAnsi="Arial" w:cs="Arial"/>
          <w:sz w:val="22"/>
          <w:szCs w:val="22"/>
        </w:rPr>
      </w:pPr>
      <w:r w:rsidRPr="0010150F">
        <w:rPr>
          <w:rStyle w:val="FootnoteReference"/>
          <w:rFonts w:ascii="Arial" w:hAnsi="Arial" w:cs="Arial"/>
          <w:sz w:val="22"/>
          <w:szCs w:val="22"/>
        </w:rPr>
        <w:footnoteRef/>
      </w:r>
      <w:r w:rsidRPr="0010150F">
        <w:rPr>
          <w:rFonts w:ascii="Arial" w:hAnsi="Arial" w:cs="Arial"/>
          <w:sz w:val="22"/>
          <w:szCs w:val="22"/>
        </w:rPr>
        <w:t xml:space="preserve"> LUF funding is managed through a claims process with part advanced funding as agreed with MHCLG</w:t>
      </w:r>
    </w:p>
  </w:footnote>
  <w:footnote w:id="5">
    <w:p w14:paraId="52970AE3" w14:textId="3E9F609B" w:rsidR="00030FE0" w:rsidRPr="0010150F" w:rsidRDefault="00030FE0" w:rsidP="00030FE0">
      <w:pPr>
        <w:pStyle w:val="FootnoteText"/>
        <w:rPr>
          <w:rFonts w:ascii="Arial" w:hAnsi="Arial" w:cs="Arial"/>
          <w:sz w:val="22"/>
          <w:szCs w:val="22"/>
        </w:rPr>
      </w:pPr>
      <w:r w:rsidRPr="0010150F">
        <w:rPr>
          <w:rStyle w:val="FootnoteReference"/>
          <w:rFonts w:ascii="Arial" w:hAnsi="Arial" w:cs="Arial"/>
          <w:sz w:val="22"/>
          <w:szCs w:val="22"/>
        </w:rPr>
        <w:footnoteRef/>
      </w:r>
      <w:r w:rsidRPr="0010150F">
        <w:rPr>
          <w:rFonts w:ascii="Arial" w:hAnsi="Arial" w:cs="Arial"/>
          <w:sz w:val="22"/>
          <w:szCs w:val="22"/>
        </w:rPr>
        <w:t xml:space="preserve"> CRP received</w:t>
      </w:r>
      <w:r w:rsidR="001A5D44">
        <w:rPr>
          <w:rFonts w:ascii="Arial" w:hAnsi="Arial" w:cs="Arial"/>
          <w:sz w:val="22"/>
          <w:szCs w:val="22"/>
        </w:rPr>
        <w:t xml:space="preserve"> for all </w:t>
      </w:r>
      <w:r w:rsidR="00E10C46">
        <w:rPr>
          <w:rFonts w:ascii="Arial" w:hAnsi="Arial" w:cs="Arial"/>
          <w:sz w:val="22"/>
          <w:szCs w:val="22"/>
        </w:rPr>
        <w:t xml:space="preserve">projects.  CRP </w:t>
      </w:r>
      <w:r w:rsidR="003A12DC">
        <w:rPr>
          <w:rFonts w:ascii="Arial" w:hAnsi="Arial" w:cs="Arial"/>
          <w:sz w:val="22"/>
          <w:szCs w:val="22"/>
        </w:rPr>
        <w:t xml:space="preserve">for the Bellamy Estate project </w:t>
      </w:r>
      <w:r w:rsidR="00E10C46">
        <w:rPr>
          <w:rFonts w:ascii="Arial" w:hAnsi="Arial" w:cs="Arial"/>
          <w:sz w:val="22"/>
          <w:szCs w:val="22"/>
        </w:rPr>
        <w:t xml:space="preserve">part allocated to Mansfield Connect </w:t>
      </w:r>
      <w:r w:rsidR="003A12DC">
        <w:rPr>
          <w:rFonts w:ascii="Arial" w:hAnsi="Arial" w:cs="Arial"/>
          <w:sz w:val="22"/>
          <w:szCs w:val="22"/>
        </w:rPr>
        <w:t>agreed with MHCLG</w:t>
      </w:r>
      <w:r w:rsidR="003F587B">
        <w:rPr>
          <w:rFonts w:ascii="Arial" w:hAnsi="Arial" w:cs="Arial"/>
          <w:sz w:val="22"/>
          <w:szCs w:val="22"/>
        </w:rPr>
        <w:t>, rest found via MDC HRA</w:t>
      </w:r>
      <w:r w:rsidR="003A12DC">
        <w:rPr>
          <w:rFonts w:ascii="Arial" w:hAnsi="Arial" w:cs="Arial"/>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47C"/>
    <w:multiLevelType w:val="hybridMultilevel"/>
    <w:tmpl w:val="EEDC157C"/>
    <w:lvl w:ilvl="0" w:tplc="2BAA9906">
      <w:start w:val="162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6044F"/>
    <w:multiLevelType w:val="multilevel"/>
    <w:tmpl w:val="211EEAA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B32A81"/>
    <w:multiLevelType w:val="hybridMultilevel"/>
    <w:tmpl w:val="BE9CF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34175"/>
    <w:multiLevelType w:val="hybridMultilevel"/>
    <w:tmpl w:val="E2C404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A07472"/>
    <w:multiLevelType w:val="hybridMultilevel"/>
    <w:tmpl w:val="F4F28742"/>
    <w:lvl w:ilvl="0" w:tplc="2BAA9906">
      <w:start w:val="162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F0F80"/>
    <w:multiLevelType w:val="hybridMultilevel"/>
    <w:tmpl w:val="A84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73217"/>
    <w:multiLevelType w:val="multilevel"/>
    <w:tmpl w:val="921CB1C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2C200542"/>
    <w:multiLevelType w:val="hybridMultilevel"/>
    <w:tmpl w:val="9B26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806E6"/>
    <w:multiLevelType w:val="hybridMultilevel"/>
    <w:tmpl w:val="D854AED4"/>
    <w:lvl w:ilvl="0" w:tplc="0136C1F2">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F70720"/>
    <w:multiLevelType w:val="hybridMultilevel"/>
    <w:tmpl w:val="F8208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2B4666"/>
    <w:multiLevelType w:val="hybridMultilevel"/>
    <w:tmpl w:val="E99202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39A2837"/>
    <w:multiLevelType w:val="hybridMultilevel"/>
    <w:tmpl w:val="F52668AE"/>
    <w:lvl w:ilvl="0" w:tplc="759A346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F37CD3"/>
    <w:multiLevelType w:val="multilevel"/>
    <w:tmpl w:val="E2F0D4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A3592D"/>
    <w:multiLevelType w:val="hybridMultilevel"/>
    <w:tmpl w:val="9B2E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5815C7"/>
    <w:multiLevelType w:val="multilevel"/>
    <w:tmpl w:val="7A6E2D22"/>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0E7526"/>
    <w:multiLevelType w:val="hybridMultilevel"/>
    <w:tmpl w:val="E5C65C0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1664772500">
    <w:abstractNumId w:val="3"/>
  </w:num>
  <w:num w:numId="2" w16cid:durableId="203298707">
    <w:abstractNumId w:val="5"/>
  </w:num>
  <w:num w:numId="3" w16cid:durableId="96339846">
    <w:abstractNumId w:val="13"/>
  </w:num>
  <w:num w:numId="4" w16cid:durableId="781726589">
    <w:abstractNumId w:val="2"/>
  </w:num>
  <w:num w:numId="5" w16cid:durableId="1939098095">
    <w:abstractNumId w:val="0"/>
  </w:num>
  <w:num w:numId="6" w16cid:durableId="403722132">
    <w:abstractNumId w:val="7"/>
  </w:num>
  <w:num w:numId="7" w16cid:durableId="71121881">
    <w:abstractNumId w:val="9"/>
  </w:num>
  <w:num w:numId="8" w16cid:durableId="95186545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8850584">
    <w:abstractNumId w:val="4"/>
  </w:num>
  <w:num w:numId="10" w16cid:durableId="1586843545">
    <w:abstractNumId w:val="14"/>
  </w:num>
  <w:num w:numId="11" w16cid:durableId="1380933686">
    <w:abstractNumId w:val="12"/>
  </w:num>
  <w:num w:numId="12" w16cid:durableId="1271280611">
    <w:abstractNumId w:val="1"/>
  </w:num>
  <w:num w:numId="13" w16cid:durableId="1616327278">
    <w:abstractNumId w:val="15"/>
  </w:num>
  <w:num w:numId="14" w16cid:durableId="1864249653">
    <w:abstractNumId w:val="8"/>
  </w:num>
  <w:num w:numId="15" w16cid:durableId="1348822616">
    <w:abstractNumId w:val="10"/>
  </w:num>
  <w:num w:numId="16" w16cid:durableId="20293336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D5"/>
    <w:rsid w:val="0000613D"/>
    <w:rsid w:val="0001287B"/>
    <w:rsid w:val="000132BE"/>
    <w:rsid w:val="00015E2C"/>
    <w:rsid w:val="00030FE0"/>
    <w:rsid w:val="00031598"/>
    <w:rsid w:val="00036514"/>
    <w:rsid w:val="00037986"/>
    <w:rsid w:val="00042525"/>
    <w:rsid w:val="00053780"/>
    <w:rsid w:val="00057F83"/>
    <w:rsid w:val="000744D0"/>
    <w:rsid w:val="00080AFC"/>
    <w:rsid w:val="00087E50"/>
    <w:rsid w:val="000952B4"/>
    <w:rsid w:val="00096DF4"/>
    <w:rsid w:val="000A2096"/>
    <w:rsid w:val="000A6CA5"/>
    <w:rsid w:val="000A6DC9"/>
    <w:rsid w:val="000B7BA8"/>
    <w:rsid w:val="000C1F15"/>
    <w:rsid w:val="000C5F1E"/>
    <w:rsid w:val="000E00A1"/>
    <w:rsid w:val="000E34CE"/>
    <w:rsid w:val="000E72F2"/>
    <w:rsid w:val="000F206A"/>
    <w:rsid w:val="000F6EE1"/>
    <w:rsid w:val="00102A30"/>
    <w:rsid w:val="001067B3"/>
    <w:rsid w:val="001134B4"/>
    <w:rsid w:val="00120357"/>
    <w:rsid w:val="00124CDE"/>
    <w:rsid w:val="00124ECC"/>
    <w:rsid w:val="00140BC2"/>
    <w:rsid w:val="00162B78"/>
    <w:rsid w:val="001664B7"/>
    <w:rsid w:val="001679AA"/>
    <w:rsid w:val="0018434F"/>
    <w:rsid w:val="00193E9F"/>
    <w:rsid w:val="00194E7D"/>
    <w:rsid w:val="00196FDC"/>
    <w:rsid w:val="001A02A7"/>
    <w:rsid w:val="001A3719"/>
    <w:rsid w:val="001A5D44"/>
    <w:rsid w:val="001B0FDE"/>
    <w:rsid w:val="001C6271"/>
    <w:rsid w:val="001C7282"/>
    <w:rsid w:val="001E79AB"/>
    <w:rsid w:val="001F7C7A"/>
    <w:rsid w:val="00211AB4"/>
    <w:rsid w:val="0021637E"/>
    <w:rsid w:val="00221836"/>
    <w:rsid w:val="002300DA"/>
    <w:rsid w:val="0023104C"/>
    <w:rsid w:val="0023118E"/>
    <w:rsid w:val="00231F0C"/>
    <w:rsid w:val="00232FA3"/>
    <w:rsid w:val="002371E4"/>
    <w:rsid w:val="002455D5"/>
    <w:rsid w:val="002457EB"/>
    <w:rsid w:val="00250F13"/>
    <w:rsid w:val="0027097E"/>
    <w:rsid w:val="00271ABB"/>
    <w:rsid w:val="00273738"/>
    <w:rsid w:val="0027599E"/>
    <w:rsid w:val="00277BF6"/>
    <w:rsid w:val="002804AD"/>
    <w:rsid w:val="0028089B"/>
    <w:rsid w:val="002943B2"/>
    <w:rsid w:val="002948D4"/>
    <w:rsid w:val="002A0196"/>
    <w:rsid w:val="002A2620"/>
    <w:rsid w:val="002A2CE5"/>
    <w:rsid w:val="002A6113"/>
    <w:rsid w:val="002A7ECE"/>
    <w:rsid w:val="002B2AC2"/>
    <w:rsid w:val="002B4CCA"/>
    <w:rsid w:val="002C276F"/>
    <w:rsid w:val="002C59BA"/>
    <w:rsid w:val="002C6C0E"/>
    <w:rsid w:val="002D7ADF"/>
    <w:rsid w:val="00304E8B"/>
    <w:rsid w:val="00307039"/>
    <w:rsid w:val="00312815"/>
    <w:rsid w:val="003170BF"/>
    <w:rsid w:val="00326DD5"/>
    <w:rsid w:val="00331630"/>
    <w:rsid w:val="0033548D"/>
    <w:rsid w:val="00340AEE"/>
    <w:rsid w:val="0034411D"/>
    <w:rsid w:val="0034467E"/>
    <w:rsid w:val="0034783E"/>
    <w:rsid w:val="00347940"/>
    <w:rsid w:val="003558ED"/>
    <w:rsid w:val="00360BD9"/>
    <w:rsid w:val="00372B6A"/>
    <w:rsid w:val="00381912"/>
    <w:rsid w:val="0039096F"/>
    <w:rsid w:val="00393CF5"/>
    <w:rsid w:val="003A12DC"/>
    <w:rsid w:val="003B0E6A"/>
    <w:rsid w:val="003B4DF1"/>
    <w:rsid w:val="003C0947"/>
    <w:rsid w:val="003F2249"/>
    <w:rsid w:val="003F587B"/>
    <w:rsid w:val="00400691"/>
    <w:rsid w:val="00401FB1"/>
    <w:rsid w:val="0040202C"/>
    <w:rsid w:val="0040374D"/>
    <w:rsid w:val="00404E5E"/>
    <w:rsid w:val="00406A47"/>
    <w:rsid w:val="00415C72"/>
    <w:rsid w:val="00430925"/>
    <w:rsid w:val="00461005"/>
    <w:rsid w:val="00462FD7"/>
    <w:rsid w:val="00463075"/>
    <w:rsid w:val="0047159E"/>
    <w:rsid w:val="00482C7D"/>
    <w:rsid w:val="004857CE"/>
    <w:rsid w:val="00490CB8"/>
    <w:rsid w:val="00491403"/>
    <w:rsid w:val="004B0508"/>
    <w:rsid w:val="004B4212"/>
    <w:rsid w:val="004B7DBD"/>
    <w:rsid w:val="004E0C56"/>
    <w:rsid w:val="004F2EBD"/>
    <w:rsid w:val="004F3D44"/>
    <w:rsid w:val="005011E8"/>
    <w:rsid w:val="00501222"/>
    <w:rsid w:val="005229A0"/>
    <w:rsid w:val="005230FA"/>
    <w:rsid w:val="00532BDE"/>
    <w:rsid w:val="005338BF"/>
    <w:rsid w:val="00534A72"/>
    <w:rsid w:val="005459F1"/>
    <w:rsid w:val="00545D86"/>
    <w:rsid w:val="00546A08"/>
    <w:rsid w:val="00556C73"/>
    <w:rsid w:val="00572A82"/>
    <w:rsid w:val="00572C8E"/>
    <w:rsid w:val="00581CBB"/>
    <w:rsid w:val="00585CAB"/>
    <w:rsid w:val="005A37C6"/>
    <w:rsid w:val="005A78EC"/>
    <w:rsid w:val="005C0644"/>
    <w:rsid w:val="005C0881"/>
    <w:rsid w:val="005C314E"/>
    <w:rsid w:val="005C3AC5"/>
    <w:rsid w:val="005D3230"/>
    <w:rsid w:val="005D4C90"/>
    <w:rsid w:val="005F5196"/>
    <w:rsid w:val="00610866"/>
    <w:rsid w:val="006130C8"/>
    <w:rsid w:val="00624F69"/>
    <w:rsid w:val="0062615E"/>
    <w:rsid w:val="006448FF"/>
    <w:rsid w:val="0065310F"/>
    <w:rsid w:val="00654843"/>
    <w:rsid w:val="00660DCF"/>
    <w:rsid w:val="00662952"/>
    <w:rsid w:val="00667A68"/>
    <w:rsid w:val="006731BC"/>
    <w:rsid w:val="006735BE"/>
    <w:rsid w:val="00674610"/>
    <w:rsid w:val="00674EC2"/>
    <w:rsid w:val="00675BC8"/>
    <w:rsid w:val="00694B6E"/>
    <w:rsid w:val="00696DA8"/>
    <w:rsid w:val="006B0504"/>
    <w:rsid w:val="006C0803"/>
    <w:rsid w:val="006C6B2F"/>
    <w:rsid w:val="006D6605"/>
    <w:rsid w:val="006D7336"/>
    <w:rsid w:val="006E31FB"/>
    <w:rsid w:val="006E54ED"/>
    <w:rsid w:val="006F3372"/>
    <w:rsid w:val="007003EC"/>
    <w:rsid w:val="007021CB"/>
    <w:rsid w:val="00706C21"/>
    <w:rsid w:val="00707A17"/>
    <w:rsid w:val="00717D00"/>
    <w:rsid w:val="00720443"/>
    <w:rsid w:val="00722170"/>
    <w:rsid w:val="00722749"/>
    <w:rsid w:val="00726CAA"/>
    <w:rsid w:val="0073127D"/>
    <w:rsid w:val="0073323D"/>
    <w:rsid w:val="00735CEC"/>
    <w:rsid w:val="00741840"/>
    <w:rsid w:val="007947CD"/>
    <w:rsid w:val="007A0019"/>
    <w:rsid w:val="007A6EAC"/>
    <w:rsid w:val="007B53CA"/>
    <w:rsid w:val="007C01D7"/>
    <w:rsid w:val="007D26A3"/>
    <w:rsid w:val="007D4446"/>
    <w:rsid w:val="007D7473"/>
    <w:rsid w:val="007E090F"/>
    <w:rsid w:val="007E2BCD"/>
    <w:rsid w:val="007F5D0D"/>
    <w:rsid w:val="00800304"/>
    <w:rsid w:val="00815160"/>
    <w:rsid w:val="0081593E"/>
    <w:rsid w:val="00833151"/>
    <w:rsid w:val="0083349F"/>
    <w:rsid w:val="00836EBA"/>
    <w:rsid w:val="00837DB3"/>
    <w:rsid w:val="008455F7"/>
    <w:rsid w:val="00846DFD"/>
    <w:rsid w:val="008558B1"/>
    <w:rsid w:val="008567C4"/>
    <w:rsid w:val="008576F2"/>
    <w:rsid w:val="00891977"/>
    <w:rsid w:val="008937BC"/>
    <w:rsid w:val="008A14CA"/>
    <w:rsid w:val="008A4056"/>
    <w:rsid w:val="008B0CD1"/>
    <w:rsid w:val="008B13C6"/>
    <w:rsid w:val="008B3232"/>
    <w:rsid w:val="008B5165"/>
    <w:rsid w:val="008C1172"/>
    <w:rsid w:val="008C3BB0"/>
    <w:rsid w:val="008C7AF2"/>
    <w:rsid w:val="008D1B3F"/>
    <w:rsid w:val="008E233B"/>
    <w:rsid w:val="00921342"/>
    <w:rsid w:val="00926034"/>
    <w:rsid w:val="00967426"/>
    <w:rsid w:val="009705E5"/>
    <w:rsid w:val="00972923"/>
    <w:rsid w:val="00975D50"/>
    <w:rsid w:val="0098261A"/>
    <w:rsid w:val="009856F6"/>
    <w:rsid w:val="00997F97"/>
    <w:rsid w:val="009A5A36"/>
    <w:rsid w:val="009B7301"/>
    <w:rsid w:val="009C002F"/>
    <w:rsid w:val="009C6072"/>
    <w:rsid w:val="009D7C22"/>
    <w:rsid w:val="009E5B53"/>
    <w:rsid w:val="00A05C5B"/>
    <w:rsid w:val="00A10A1B"/>
    <w:rsid w:val="00A33BDB"/>
    <w:rsid w:val="00A35B7C"/>
    <w:rsid w:val="00A60B8D"/>
    <w:rsid w:val="00A60C0D"/>
    <w:rsid w:val="00A66FC3"/>
    <w:rsid w:val="00A73F2C"/>
    <w:rsid w:val="00A82C61"/>
    <w:rsid w:val="00A84340"/>
    <w:rsid w:val="00A86438"/>
    <w:rsid w:val="00A95FC0"/>
    <w:rsid w:val="00AA29FB"/>
    <w:rsid w:val="00AB0EC3"/>
    <w:rsid w:val="00AC1DC7"/>
    <w:rsid w:val="00AC7462"/>
    <w:rsid w:val="00AD2B2E"/>
    <w:rsid w:val="00AF40B6"/>
    <w:rsid w:val="00B04DA1"/>
    <w:rsid w:val="00B12C96"/>
    <w:rsid w:val="00B1656C"/>
    <w:rsid w:val="00B31977"/>
    <w:rsid w:val="00B42E0B"/>
    <w:rsid w:val="00B462E2"/>
    <w:rsid w:val="00B503E2"/>
    <w:rsid w:val="00B55A8B"/>
    <w:rsid w:val="00B643BE"/>
    <w:rsid w:val="00B70EA4"/>
    <w:rsid w:val="00B7332D"/>
    <w:rsid w:val="00B90431"/>
    <w:rsid w:val="00B90C8C"/>
    <w:rsid w:val="00B9218C"/>
    <w:rsid w:val="00BA789E"/>
    <w:rsid w:val="00BB0B5F"/>
    <w:rsid w:val="00BD6AED"/>
    <w:rsid w:val="00C04F18"/>
    <w:rsid w:val="00C21B79"/>
    <w:rsid w:val="00C57EDD"/>
    <w:rsid w:val="00C646E0"/>
    <w:rsid w:val="00C7079E"/>
    <w:rsid w:val="00C70F15"/>
    <w:rsid w:val="00C727DD"/>
    <w:rsid w:val="00C74074"/>
    <w:rsid w:val="00C77F9B"/>
    <w:rsid w:val="00C86676"/>
    <w:rsid w:val="00C9197A"/>
    <w:rsid w:val="00C91BD2"/>
    <w:rsid w:val="00CA08DA"/>
    <w:rsid w:val="00CA34E9"/>
    <w:rsid w:val="00CB02B1"/>
    <w:rsid w:val="00CC1639"/>
    <w:rsid w:val="00CD002A"/>
    <w:rsid w:val="00CD5C86"/>
    <w:rsid w:val="00CE2417"/>
    <w:rsid w:val="00CF26A6"/>
    <w:rsid w:val="00CF30B5"/>
    <w:rsid w:val="00CF521E"/>
    <w:rsid w:val="00D00EA3"/>
    <w:rsid w:val="00D0356C"/>
    <w:rsid w:val="00D046F9"/>
    <w:rsid w:val="00D05F40"/>
    <w:rsid w:val="00D1051C"/>
    <w:rsid w:val="00D10D10"/>
    <w:rsid w:val="00D12414"/>
    <w:rsid w:val="00D30339"/>
    <w:rsid w:val="00D412B5"/>
    <w:rsid w:val="00D42D75"/>
    <w:rsid w:val="00D468D4"/>
    <w:rsid w:val="00D46F1D"/>
    <w:rsid w:val="00D539BC"/>
    <w:rsid w:val="00D63B3D"/>
    <w:rsid w:val="00D678EE"/>
    <w:rsid w:val="00D72DF6"/>
    <w:rsid w:val="00D750DA"/>
    <w:rsid w:val="00D84B39"/>
    <w:rsid w:val="00DB4783"/>
    <w:rsid w:val="00DB76EC"/>
    <w:rsid w:val="00DC1EF5"/>
    <w:rsid w:val="00DC2E96"/>
    <w:rsid w:val="00DD7106"/>
    <w:rsid w:val="00DD7603"/>
    <w:rsid w:val="00DE0A20"/>
    <w:rsid w:val="00DE54C4"/>
    <w:rsid w:val="00DF1D2B"/>
    <w:rsid w:val="00DF7D67"/>
    <w:rsid w:val="00E01AAD"/>
    <w:rsid w:val="00E0665B"/>
    <w:rsid w:val="00E10C46"/>
    <w:rsid w:val="00E12A27"/>
    <w:rsid w:val="00E17045"/>
    <w:rsid w:val="00E24BAB"/>
    <w:rsid w:val="00E26BC6"/>
    <w:rsid w:val="00E27190"/>
    <w:rsid w:val="00E343B6"/>
    <w:rsid w:val="00E37F9A"/>
    <w:rsid w:val="00E50017"/>
    <w:rsid w:val="00E509CC"/>
    <w:rsid w:val="00E53AD2"/>
    <w:rsid w:val="00E53E1C"/>
    <w:rsid w:val="00E712B8"/>
    <w:rsid w:val="00E76A32"/>
    <w:rsid w:val="00E82189"/>
    <w:rsid w:val="00E8218D"/>
    <w:rsid w:val="00E948BE"/>
    <w:rsid w:val="00EA125C"/>
    <w:rsid w:val="00EA1EF2"/>
    <w:rsid w:val="00EA257A"/>
    <w:rsid w:val="00EB4F01"/>
    <w:rsid w:val="00EC5617"/>
    <w:rsid w:val="00ED7B29"/>
    <w:rsid w:val="00EE1D45"/>
    <w:rsid w:val="00EE4E56"/>
    <w:rsid w:val="00EF1E6B"/>
    <w:rsid w:val="00F0093E"/>
    <w:rsid w:val="00F0137B"/>
    <w:rsid w:val="00F0609D"/>
    <w:rsid w:val="00F10822"/>
    <w:rsid w:val="00F11512"/>
    <w:rsid w:val="00F17E28"/>
    <w:rsid w:val="00F27810"/>
    <w:rsid w:val="00F30B50"/>
    <w:rsid w:val="00F322A2"/>
    <w:rsid w:val="00F41118"/>
    <w:rsid w:val="00F412BE"/>
    <w:rsid w:val="00F44A4A"/>
    <w:rsid w:val="00F46456"/>
    <w:rsid w:val="00F65A6A"/>
    <w:rsid w:val="00F66D31"/>
    <w:rsid w:val="00F73806"/>
    <w:rsid w:val="00F82593"/>
    <w:rsid w:val="00FA1D37"/>
    <w:rsid w:val="00FA1DAB"/>
    <w:rsid w:val="00FA24F3"/>
    <w:rsid w:val="00FA3DD3"/>
    <w:rsid w:val="00FB6027"/>
    <w:rsid w:val="00FC173D"/>
    <w:rsid w:val="00FD133E"/>
    <w:rsid w:val="00FD53AE"/>
    <w:rsid w:val="00FD654B"/>
    <w:rsid w:val="00FD6982"/>
    <w:rsid w:val="00FE7E3B"/>
    <w:rsid w:val="00FF1F66"/>
    <w:rsid w:val="00FF5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FAAA"/>
  <w15:chartTrackingRefBased/>
  <w15:docId w15:val="{FCB66964-F3C9-446A-9FD4-CB6C256E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5D5"/>
  </w:style>
  <w:style w:type="paragraph" w:styleId="Heading1">
    <w:name w:val="heading 1"/>
    <w:basedOn w:val="Normal"/>
    <w:next w:val="Normal"/>
    <w:link w:val="Heading1Char"/>
    <w:uiPriority w:val="9"/>
    <w:qFormat/>
    <w:rsid w:val="002455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455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455D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455D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455D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45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5D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455D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455D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455D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455D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45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5D5"/>
    <w:rPr>
      <w:rFonts w:eastAsiaTheme="majorEastAsia" w:cstheme="majorBidi"/>
      <w:color w:val="272727" w:themeColor="text1" w:themeTint="D8"/>
    </w:rPr>
  </w:style>
  <w:style w:type="paragraph" w:styleId="Title">
    <w:name w:val="Title"/>
    <w:basedOn w:val="Normal"/>
    <w:next w:val="Normal"/>
    <w:link w:val="TitleChar"/>
    <w:uiPriority w:val="10"/>
    <w:qFormat/>
    <w:rsid w:val="00245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5D5"/>
    <w:pPr>
      <w:spacing w:before="160"/>
      <w:jc w:val="center"/>
    </w:pPr>
    <w:rPr>
      <w:i/>
      <w:iCs/>
      <w:color w:val="404040" w:themeColor="text1" w:themeTint="BF"/>
    </w:rPr>
  </w:style>
  <w:style w:type="character" w:customStyle="1" w:styleId="QuoteChar">
    <w:name w:val="Quote Char"/>
    <w:basedOn w:val="DefaultParagraphFont"/>
    <w:link w:val="Quote"/>
    <w:uiPriority w:val="29"/>
    <w:rsid w:val="002455D5"/>
    <w:rPr>
      <w:i/>
      <w:iCs/>
      <w:color w:val="404040" w:themeColor="text1" w:themeTint="BF"/>
    </w:rPr>
  </w:style>
  <w:style w:type="paragraph" w:styleId="ListParagraph">
    <w:name w:val="List Paragraph"/>
    <w:basedOn w:val="Normal"/>
    <w:uiPriority w:val="34"/>
    <w:qFormat/>
    <w:rsid w:val="002455D5"/>
    <w:pPr>
      <w:ind w:left="720"/>
      <w:contextualSpacing/>
    </w:pPr>
  </w:style>
  <w:style w:type="character" w:styleId="IntenseEmphasis">
    <w:name w:val="Intense Emphasis"/>
    <w:basedOn w:val="DefaultParagraphFont"/>
    <w:uiPriority w:val="21"/>
    <w:qFormat/>
    <w:rsid w:val="002455D5"/>
    <w:rPr>
      <w:i/>
      <w:iCs/>
      <w:color w:val="2E74B5" w:themeColor="accent1" w:themeShade="BF"/>
    </w:rPr>
  </w:style>
  <w:style w:type="paragraph" w:styleId="IntenseQuote">
    <w:name w:val="Intense Quote"/>
    <w:basedOn w:val="Normal"/>
    <w:next w:val="Normal"/>
    <w:link w:val="IntenseQuoteChar"/>
    <w:uiPriority w:val="30"/>
    <w:qFormat/>
    <w:rsid w:val="002455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455D5"/>
    <w:rPr>
      <w:i/>
      <w:iCs/>
      <w:color w:val="2E74B5" w:themeColor="accent1" w:themeShade="BF"/>
    </w:rPr>
  </w:style>
  <w:style w:type="character" w:styleId="IntenseReference">
    <w:name w:val="Intense Reference"/>
    <w:basedOn w:val="DefaultParagraphFont"/>
    <w:uiPriority w:val="32"/>
    <w:qFormat/>
    <w:rsid w:val="002455D5"/>
    <w:rPr>
      <w:b/>
      <w:bCs/>
      <w:smallCaps/>
      <w:color w:val="2E74B5" w:themeColor="accent1" w:themeShade="BF"/>
      <w:spacing w:val="5"/>
    </w:rPr>
  </w:style>
  <w:style w:type="paragraph" w:styleId="NoSpacing">
    <w:name w:val="No Spacing"/>
    <w:uiPriority w:val="1"/>
    <w:qFormat/>
    <w:rsid w:val="002455D5"/>
    <w:pPr>
      <w:spacing w:after="0" w:line="240" w:lineRule="auto"/>
    </w:pPr>
  </w:style>
  <w:style w:type="table" w:styleId="TableGrid">
    <w:name w:val="Table Grid"/>
    <w:basedOn w:val="TableNormal"/>
    <w:uiPriority w:val="39"/>
    <w:rsid w:val="00245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5D5"/>
    <w:rPr>
      <w:color w:val="0563C1" w:themeColor="hyperlink"/>
      <w:u w:val="single"/>
    </w:rPr>
  </w:style>
  <w:style w:type="paragraph" w:styleId="Header">
    <w:name w:val="header"/>
    <w:basedOn w:val="Normal"/>
    <w:link w:val="HeaderChar"/>
    <w:uiPriority w:val="99"/>
    <w:unhideWhenUsed/>
    <w:rsid w:val="002A7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ECE"/>
  </w:style>
  <w:style w:type="paragraph" w:styleId="Footer">
    <w:name w:val="footer"/>
    <w:basedOn w:val="Normal"/>
    <w:link w:val="FooterChar"/>
    <w:uiPriority w:val="99"/>
    <w:unhideWhenUsed/>
    <w:rsid w:val="002A7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ECE"/>
  </w:style>
  <w:style w:type="paragraph" w:styleId="FootnoteText">
    <w:name w:val="footnote text"/>
    <w:basedOn w:val="Normal"/>
    <w:link w:val="FootnoteTextChar"/>
    <w:uiPriority w:val="99"/>
    <w:semiHidden/>
    <w:unhideWhenUsed/>
    <w:rsid w:val="00030FE0"/>
    <w:pPr>
      <w:spacing w:after="0" w:line="240" w:lineRule="auto"/>
    </w:pPr>
    <w:rPr>
      <w:rFonts w:ascii="Aptos" w:eastAsia="Aptos" w:hAnsi="Aptos" w:cs="Aptos"/>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030FE0"/>
    <w:rPr>
      <w:rFonts w:ascii="Aptos" w:eastAsia="Aptos" w:hAnsi="Aptos" w:cs="Aptos"/>
      <w:kern w:val="0"/>
      <w:sz w:val="20"/>
      <w:szCs w:val="20"/>
      <w:lang w:eastAsia="en-GB"/>
      <w14:ligatures w14:val="none"/>
    </w:rPr>
  </w:style>
  <w:style w:type="character" w:styleId="FootnoteReference">
    <w:name w:val="footnote reference"/>
    <w:basedOn w:val="DefaultParagraphFont"/>
    <w:uiPriority w:val="99"/>
    <w:semiHidden/>
    <w:unhideWhenUsed/>
    <w:rsid w:val="00030F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29839">
      <w:bodyDiv w:val="1"/>
      <w:marLeft w:val="0"/>
      <w:marRight w:val="0"/>
      <w:marTop w:val="0"/>
      <w:marBottom w:val="0"/>
      <w:divBdr>
        <w:top w:val="none" w:sz="0" w:space="0" w:color="auto"/>
        <w:left w:val="none" w:sz="0" w:space="0" w:color="auto"/>
        <w:bottom w:val="none" w:sz="0" w:space="0" w:color="auto"/>
        <w:right w:val="none" w:sz="0" w:space="0" w:color="auto"/>
      </w:divBdr>
    </w:div>
    <w:div w:id="42896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eorge@mansfield.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299F2-6DD7-4D5D-BA6E-AA1E2E3B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1225</Words>
  <Characters>6988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MDC</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George</dc:creator>
  <cp:keywords/>
  <dc:description/>
  <cp:lastModifiedBy>James Biddlestone</cp:lastModifiedBy>
  <cp:revision>2</cp:revision>
  <dcterms:created xsi:type="dcterms:W3CDTF">2025-04-02T16:12:00Z</dcterms:created>
  <dcterms:modified xsi:type="dcterms:W3CDTF">2025-04-02T16:12:00Z</dcterms:modified>
</cp:coreProperties>
</file>