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CAF2D" w14:textId="77777777" w:rsidR="002455D5" w:rsidRPr="00B57900" w:rsidRDefault="002455D5" w:rsidP="002455D5">
      <w:pPr>
        <w:pStyle w:val="NoSpacing"/>
        <w:jc w:val="center"/>
        <w:rPr>
          <w:rFonts w:ascii="Arial" w:hAnsi="Arial" w:cs="Arial"/>
          <w:b/>
          <w:bCs/>
          <w:sz w:val="24"/>
          <w:szCs w:val="24"/>
        </w:rPr>
      </w:pPr>
      <w:r w:rsidRPr="00B57900">
        <w:rPr>
          <w:rFonts w:ascii="Arial" w:hAnsi="Arial" w:cs="Arial"/>
          <w:b/>
          <w:bCs/>
          <w:sz w:val="24"/>
          <w:szCs w:val="24"/>
        </w:rPr>
        <w:t>Mansfield Place Board</w:t>
      </w:r>
    </w:p>
    <w:p w14:paraId="7D893EAA" w14:textId="77777777" w:rsidR="002455D5" w:rsidRPr="00B57900" w:rsidRDefault="002455D5" w:rsidP="002455D5">
      <w:pPr>
        <w:pStyle w:val="NoSpacing"/>
        <w:jc w:val="center"/>
        <w:rPr>
          <w:rFonts w:ascii="Arial" w:hAnsi="Arial" w:cs="Arial"/>
          <w:b/>
          <w:bCs/>
          <w:sz w:val="24"/>
          <w:szCs w:val="24"/>
        </w:rPr>
      </w:pPr>
      <w:r w:rsidRPr="00B57900">
        <w:rPr>
          <w:rFonts w:ascii="Arial" w:hAnsi="Arial" w:cs="Arial"/>
          <w:b/>
          <w:bCs/>
          <w:sz w:val="24"/>
          <w:szCs w:val="24"/>
        </w:rPr>
        <w:t>Core Group Meeting</w:t>
      </w:r>
    </w:p>
    <w:p w14:paraId="15360090" w14:textId="77777777" w:rsidR="002455D5" w:rsidRPr="004F2EBD" w:rsidRDefault="002455D5" w:rsidP="002455D5">
      <w:pPr>
        <w:pStyle w:val="NoSpacing"/>
        <w:jc w:val="center"/>
        <w:rPr>
          <w:rFonts w:ascii="Arial" w:hAnsi="Arial" w:cs="Arial"/>
          <w:b/>
          <w:bCs/>
          <w:sz w:val="24"/>
          <w:szCs w:val="24"/>
        </w:rPr>
      </w:pPr>
    </w:p>
    <w:p w14:paraId="53C05114" w14:textId="77777777" w:rsidR="002455D5" w:rsidRPr="004F2EBD" w:rsidRDefault="002455D5" w:rsidP="002455D5">
      <w:pPr>
        <w:pStyle w:val="NoSpacing"/>
        <w:jc w:val="center"/>
        <w:rPr>
          <w:rFonts w:ascii="Arial" w:hAnsi="Arial" w:cs="Arial"/>
          <w:b/>
          <w:bCs/>
          <w:sz w:val="24"/>
          <w:szCs w:val="24"/>
        </w:rPr>
      </w:pPr>
      <w:r w:rsidRPr="004F2EBD">
        <w:rPr>
          <w:rFonts w:ascii="Arial" w:hAnsi="Arial" w:cs="Arial"/>
          <w:b/>
          <w:bCs/>
          <w:sz w:val="24"/>
          <w:szCs w:val="24"/>
        </w:rPr>
        <w:t>3</w:t>
      </w:r>
      <w:r w:rsidRPr="004F2EBD">
        <w:rPr>
          <w:rFonts w:ascii="Arial" w:hAnsi="Arial" w:cs="Arial"/>
          <w:b/>
          <w:bCs/>
          <w:sz w:val="24"/>
          <w:szCs w:val="24"/>
          <w:vertAlign w:val="superscript"/>
        </w:rPr>
        <w:t>rd</w:t>
      </w:r>
      <w:r w:rsidRPr="004F2EBD">
        <w:rPr>
          <w:rFonts w:ascii="Arial" w:hAnsi="Arial" w:cs="Arial"/>
          <w:b/>
          <w:bCs/>
          <w:sz w:val="24"/>
          <w:szCs w:val="24"/>
        </w:rPr>
        <w:t xml:space="preserve"> April 2025</w:t>
      </w:r>
    </w:p>
    <w:p w14:paraId="13F35205" w14:textId="77777777" w:rsidR="002455D5" w:rsidRPr="004F2EBD" w:rsidRDefault="002455D5" w:rsidP="002455D5">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3681"/>
        <w:gridCol w:w="5335"/>
      </w:tblGrid>
      <w:tr w:rsidR="002455D5" w:rsidRPr="004F2EBD" w14:paraId="6159825E" w14:textId="77777777" w:rsidTr="006C6617">
        <w:tc>
          <w:tcPr>
            <w:tcW w:w="3681" w:type="dxa"/>
          </w:tcPr>
          <w:p w14:paraId="789E56EA" w14:textId="77777777" w:rsidR="002455D5" w:rsidRPr="004F2EBD" w:rsidRDefault="002455D5" w:rsidP="006C6617">
            <w:pPr>
              <w:pStyle w:val="NoSpacing"/>
              <w:rPr>
                <w:rFonts w:ascii="Arial" w:hAnsi="Arial" w:cs="Arial"/>
                <w:sz w:val="24"/>
                <w:szCs w:val="24"/>
              </w:rPr>
            </w:pPr>
            <w:r w:rsidRPr="004F2EBD">
              <w:rPr>
                <w:rFonts w:ascii="Arial" w:hAnsi="Arial" w:cs="Arial"/>
                <w:sz w:val="24"/>
                <w:szCs w:val="24"/>
              </w:rPr>
              <w:t xml:space="preserve">Agenda Item No. </w:t>
            </w:r>
          </w:p>
        </w:tc>
        <w:tc>
          <w:tcPr>
            <w:tcW w:w="5335" w:type="dxa"/>
          </w:tcPr>
          <w:p w14:paraId="6D794BB0" w14:textId="77777777" w:rsidR="002455D5" w:rsidRPr="004F2EBD" w:rsidRDefault="002455D5" w:rsidP="006C6617">
            <w:pPr>
              <w:pStyle w:val="NoSpacing"/>
              <w:rPr>
                <w:rFonts w:ascii="Arial" w:hAnsi="Arial" w:cs="Arial"/>
                <w:sz w:val="24"/>
                <w:szCs w:val="24"/>
              </w:rPr>
            </w:pPr>
          </w:p>
        </w:tc>
      </w:tr>
      <w:tr w:rsidR="002455D5" w:rsidRPr="004F2EBD" w14:paraId="17BB9356" w14:textId="77777777" w:rsidTr="006C6617">
        <w:tc>
          <w:tcPr>
            <w:tcW w:w="3681" w:type="dxa"/>
          </w:tcPr>
          <w:p w14:paraId="41EB2B7C" w14:textId="77777777" w:rsidR="002455D5" w:rsidRPr="004F2EBD" w:rsidRDefault="002455D5" w:rsidP="006C6617">
            <w:pPr>
              <w:pStyle w:val="NoSpacing"/>
              <w:rPr>
                <w:rFonts w:ascii="Arial" w:hAnsi="Arial" w:cs="Arial"/>
                <w:sz w:val="24"/>
                <w:szCs w:val="24"/>
              </w:rPr>
            </w:pPr>
            <w:r w:rsidRPr="004F2EBD">
              <w:rPr>
                <w:rFonts w:ascii="Arial" w:hAnsi="Arial" w:cs="Arial"/>
                <w:sz w:val="24"/>
                <w:szCs w:val="24"/>
              </w:rPr>
              <w:t>Presenting Organisation</w:t>
            </w:r>
          </w:p>
        </w:tc>
        <w:tc>
          <w:tcPr>
            <w:tcW w:w="5335" w:type="dxa"/>
          </w:tcPr>
          <w:p w14:paraId="75F01DFE" w14:textId="77777777" w:rsidR="002455D5" w:rsidRPr="004F2EBD" w:rsidRDefault="002455D5" w:rsidP="006C6617">
            <w:pPr>
              <w:pStyle w:val="NoSpacing"/>
              <w:rPr>
                <w:rFonts w:ascii="Arial" w:hAnsi="Arial" w:cs="Arial"/>
                <w:sz w:val="24"/>
                <w:szCs w:val="24"/>
              </w:rPr>
            </w:pPr>
            <w:r w:rsidRPr="004F2EBD">
              <w:rPr>
                <w:rFonts w:ascii="Arial" w:hAnsi="Arial" w:cs="Arial"/>
                <w:sz w:val="24"/>
                <w:szCs w:val="24"/>
              </w:rPr>
              <w:t>Mansfield DC</w:t>
            </w:r>
          </w:p>
        </w:tc>
      </w:tr>
      <w:tr w:rsidR="002455D5" w:rsidRPr="004F2EBD" w14:paraId="3B8A0C24" w14:textId="77777777" w:rsidTr="006C6617">
        <w:tc>
          <w:tcPr>
            <w:tcW w:w="3681" w:type="dxa"/>
          </w:tcPr>
          <w:p w14:paraId="120FF9AD" w14:textId="77777777" w:rsidR="002455D5" w:rsidRPr="004F2EBD" w:rsidRDefault="002455D5" w:rsidP="006C6617">
            <w:pPr>
              <w:pStyle w:val="NoSpacing"/>
              <w:rPr>
                <w:rFonts w:ascii="Arial" w:hAnsi="Arial" w:cs="Arial"/>
                <w:sz w:val="24"/>
                <w:szCs w:val="24"/>
              </w:rPr>
            </w:pPr>
            <w:r w:rsidRPr="004F2EBD">
              <w:rPr>
                <w:rFonts w:ascii="Arial" w:hAnsi="Arial" w:cs="Arial"/>
                <w:sz w:val="24"/>
                <w:szCs w:val="24"/>
              </w:rPr>
              <w:t xml:space="preserve">Report Author and Contact Details </w:t>
            </w:r>
          </w:p>
        </w:tc>
        <w:tc>
          <w:tcPr>
            <w:tcW w:w="5335" w:type="dxa"/>
          </w:tcPr>
          <w:p w14:paraId="09EA1481" w14:textId="77777777" w:rsidR="002455D5" w:rsidRPr="004F2EBD" w:rsidRDefault="002455D5" w:rsidP="006C6617">
            <w:pPr>
              <w:pStyle w:val="NoSpacing"/>
              <w:rPr>
                <w:rFonts w:ascii="Arial" w:hAnsi="Arial" w:cs="Arial"/>
                <w:sz w:val="24"/>
                <w:szCs w:val="24"/>
              </w:rPr>
            </w:pPr>
            <w:r w:rsidRPr="004F2EBD">
              <w:rPr>
                <w:rFonts w:ascii="Arial" w:hAnsi="Arial" w:cs="Arial"/>
                <w:sz w:val="24"/>
                <w:szCs w:val="24"/>
              </w:rPr>
              <w:t>Geoff George, Regeneration Manager</w:t>
            </w:r>
          </w:p>
          <w:p w14:paraId="7421443E" w14:textId="77777777" w:rsidR="002455D5" w:rsidRPr="004F2EBD" w:rsidRDefault="002455D5" w:rsidP="006C6617">
            <w:pPr>
              <w:pStyle w:val="NoSpacing"/>
              <w:rPr>
                <w:rFonts w:ascii="Arial" w:hAnsi="Arial" w:cs="Arial"/>
                <w:sz w:val="24"/>
                <w:szCs w:val="24"/>
              </w:rPr>
            </w:pPr>
            <w:hyperlink r:id="rId7" w:history="1">
              <w:r w:rsidRPr="004F2EBD">
                <w:rPr>
                  <w:rStyle w:val="Hyperlink"/>
                  <w:rFonts w:ascii="Arial" w:hAnsi="Arial" w:cs="Arial"/>
                  <w:sz w:val="24"/>
                  <w:szCs w:val="24"/>
                </w:rPr>
                <w:t>ggeorge@mansfield.gov.uk</w:t>
              </w:r>
            </w:hyperlink>
          </w:p>
          <w:p w14:paraId="3B44053F" w14:textId="37C05708" w:rsidR="002455D5" w:rsidRPr="004F2EBD" w:rsidRDefault="002455D5" w:rsidP="006C6617">
            <w:pPr>
              <w:pStyle w:val="NoSpacing"/>
              <w:rPr>
                <w:rFonts w:ascii="Arial" w:hAnsi="Arial" w:cs="Arial"/>
                <w:sz w:val="24"/>
                <w:szCs w:val="24"/>
              </w:rPr>
            </w:pPr>
            <w:r w:rsidRPr="004F2EBD">
              <w:rPr>
                <w:rFonts w:ascii="Arial" w:hAnsi="Arial" w:cs="Arial"/>
                <w:sz w:val="24"/>
                <w:szCs w:val="24"/>
              </w:rPr>
              <w:t xml:space="preserve">(01623) </w:t>
            </w:r>
            <w:r w:rsidR="005C0644">
              <w:rPr>
                <w:rFonts w:ascii="Arial" w:hAnsi="Arial" w:cs="Arial"/>
                <w:sz w:val="24"/>
                <w:szCs w:val="24"/>
              </w:rPr>
              <w:t>463 283</w:t>
            </w:r>
          </w:p>
        </w:tc>
      </w:tr>
    </w:tbl>
    <w:p w14:paraId="3A009B25" w14:textId="77777777" w:rsidR="002455D5" w:rsidRPr="004F2EBD" w:rsidRDefault="002455D5" w:rsidP="002455D5">
      <w:pPr>
        <w:pStyle w:val="NoSpacing"/>
        <w:rPr>
          <w:rFonts w:ascii="Arial" w:hAnsi="Arial" w:cs="Arial"/>
          <w:sz w:val="24"/>
          <w:szCs w:val="24"/>
        </w:rPr>
      </w:pPr>
    </w:p>
    <w:p w14:paraId="0A605755" w14:textId="77945906" w:rsidR="002455D5" w:rsidRPr="004F2EBD" w:rsidRDefault="002455D5" w:rsidP="005834C7">
      <w:pPr>
        <w:pStyle w:val="NoSpacing"/>
        <w:jc w:val="center"/>
        <w:rPr>
          <w:rFonts w:ascii="Arial" w:hAnsi="Arial" w:cs="Arial"/>
          <w:b/>
          <w:bCs/>
          <w:sz w:val="24"/>
          <w:szCs w:val="24"/>
        </w:rPr>
      </w:pPr>
      <w:r w:rsidRPr="004F2EBD">
        <w:rPr>
          <w:rFonts w:ascii="Arial" w:hAnsi="Arial" w:cs="Arial"/>
          <w:b/>
          <w:bCs/>
          <w:sz w:val="24"/>
          <w:szCs w:val="24"/>
        </w:rPr>
        <w:t xml:space="preserve">Plan for Neighbourhoods – </w:t>
      </w:r>
      <w:r w:rsidR="000E34CE">
        <w:rPr>
          <w:rFonts w:ascii="Arial" w:hAnsi="Arial" w:cs="Arial"/>
          <w:b/>
          <w:bCs/>
          <w:sz w:val="24"/>
          <w:szCs w:val="24"/>
        </w:rPr>
        <w:t xml:space="preserve">Area </w:t>
      </w:r>
      <w:r w:rsidRPr="004F2EBD">
        <w:rPr>
          <w:rFonts w:ascii="Arial" w:hAnsi="Arial" w:cs="Arial"/>
          <w:b/>
          <w:bCs/>
          <w:sz w:val="24"/>
          <w:szCs w:val="24"/>
        </w:rPr>
        <w:t>Boundary</w:t>
      </w:r>
    </w:p>
    <w:p w14:paraId="69085188" w14:textId="77777777" w:rsidR="002455D5" w:rsidRPr="004F2EBD" w:rsidRDefault="002455D5" w:rsidP="002455D5">
      <w:pPr>
        <w:pStyle w:val="NoSpacing"/>
        <w:rPr>
          <w:rFonts w:ascii="Arial" w:hAnsi="Arial" w:cs="Arial"/>
          <w:sz w:val="24"/>
          <w:szCs w:val="24"/>
        </w:rPr>
      </w:pPr>
    </w:p>
    <w:p w14:paraId="2ECDCACD" w14:textId="28433031" w:rsidR="002455D5" w:rsidRPr="004F2EBD" w:rsidRDefault="005834C7" w:rsidP="002455D5">
      <w:pPr>
        <w:pStyle w:val="NoSpacing"/>
        <w:rPr>
          <w:rFonts w:ascii="Arial" w:hAnsi="Arial" w:cs="Arial"/>
          <w:b/>
          <w:bCs/>
          <w:sz w:val="24"/>
          <w:szCs w:val="24"/>
        </w:rPr>
      </w:pPr>
      <w:r>
        <w:rPr>
          <w:rFonts w:ascii="Arial" w:hAnsi="Arial" w:cs="Arial"/>
          <w:b/>
          <w:bCs/>
          <w:sz w:val="24"/>
          <w:szCs w:val="24"/>
        </w:rPr>
        <w:t>1</w:t>
      </w:r>
      <w:r>
        <w:rPr>
          <w:rFonts w:ascii="Arial" w:hAnsi="Arial" w:cs="Arial"/>
          <w:b/>
          <w:bCs/>
          <w:sz w:val="24"/>
          <w:szCs w:val="24"/>
        </w:rPr>
        <w:tab/>
      </w:r>
      <w:r w:rsidR="002455D5" w:rsidRPr="004F2EBD">
        <w:rPr>
          <w:rFonts w:ascii="Arial" w:hAnsi="Arial" w:cs="Arial"/>
          <w:b/>
          <w:bCs/>
          <w:sz w:val="24"/>
          <w:szCs w:val="24"/>
        </w:rPr>
        <w:t>Purpose of Report</w:t>
      </w:r>
    </w:p>
    <w:p w14:paraId="27E9DBA9" w14:textId="77777777" w:rsidR="002455D5" w:rsidRPr="004F2EBD" w:rsidRDefault="002455D5" w:rsidP="002455D5">
      <w:pPr>
        <w:pStyle w:val="NoSpacing"/>
        <w:rPr>
          <w:rFonts w:ascii="Arial" w:hAnsi="Arial" w:cs="Arial"/>
          <w:sz w:val="24"/>
          <w:szCs w:val="24"/>
        </w:rPr>
      </w:pPr>
    </w:p>
    <w:p w14:paraId="519CBD48" w14:textId="4109AEA9" w:rsidR="002455D5" w:rsidRPr="004F2EBD" w:rsidRDefault="005834C7" w:rsidP="005834C7">
      <w:pPr>
        <w:pStyle w:val="NoSpacing"/>
        <w:ind w:left="720" w:hanging="720"/>
        <w:rPr>
          <w:rFonts w:ascii="Arial" w:hAnsi="Arial" w:cs="Arial"/>
          <w:sz w:val="24"/>
          <w:szCs w:val="24"/>
        </w:rPr>
      </w:pPr>
      <w:r>
        <w:rPr>
          <w:rFonts w:ascii="Arial" w:hAnsi="Arial" w:cs="Arial"/>
          <w:sz w:val="24"/>
          <w:szCs w:val="24"/>
        </w:rPr>
        <w:t>1.1</w:t>
      </w:r>
      <w:r>
        <w:rPr>
          <w:rFonts w:ascii="Arial" w:hAnsi="Arial" w:cs="Arial"/>
          <w:sz w:val="24"/>
          <w:szCs w:val="24"/>
        </w:rPr>
        <w:tab/>
      </w:r>
      <w:r w:rsidR="002455D5" w:rsidRPr="004F2EBD">
        <w:rPr>
          <w:rFonts w:ascii="Arial" w:hAnsi="Arial" w:cs="Arial"/>
          <w:sz w:val="24"/>
          <w:szCs w:val="24"/>
        </w:rPr>
        <w:t>To review with the Board and take soundings on the considerations that apply to the proposed boundary for Mansfield’s Plan for Neighbourhoods</w:t>
      </w:r>
      <w:r w:rsidR="002A7ECE">
        <w:rPr>
          <w:rFonts w:ascii="Arial" w:hAnsi="Arial" w:cs="Arial"/>
          <w:sz w:val="24"/>
          <w:szCs w:val="24"/>
        </w:rPr>
        <w:t xml:space="preserve"> (</w:t>
      </w:r>
      <w:proofErr w:type="spellStart"/>
      <w:r w:rsidR="002A7ECE">
        <w:rPr>
          <w:rFonts w:ascii="Arial" w:hAnsi="Arial" w:cs="Arial"/>
          <w:sz w:val="24"/>
          <w:szCs w:val="24"/>
        </w:rPr>
        <w:t>PfN</w:t>
      </w:r>
      <w:proofErr w:type="spellEnd"/>
      <w:r w:rsidR="002A7ECE">
        <w:rPr>
          <w:rFonts w:ascii="Arial" w:hAnsi="Arial" w:cs="Arial"/>
          <w:sz w:val="24"/>
          <w:szCs w:val="24"/>
        </w:rPr>
        <w:t>)</w:t>
      </w:r>
      <w:r w:rsidR="002455D5" w:rsidRPr="004F2EBD">
        <w:rPr>
          <w:rFonts w:ascii="Arial" w:hAnsi="Arial" w:cs="Arial"/>
          <w:sz w:val="24"/>
          <w:szCs w:val="24"/>
        </w:rPr>
        <w:t>.</w:t>
      </w:r>
    </w:p>
    <w:p w14:paraId="051659A9" w14:textId="77777777" w:rsidR="002455D5" w:rsidRPr="004F2EBD" w:rsidRDefault="002455D5" w:rsidP="002455D5">
      <w:pPr>
        <w:pStyle w:val="NoSpacing"/>
        <w:rPr>
          <w:rFonts w:ascii="Arial" w:hAnsi="Arial" w:cs="Arial"/>
          <w:sz w:val="24"/>
          <w:szCs w:val="24"/>
        </w:rPr>
      </w:pPr>
    </w:p>
    <w:p w14:paraId="457A6E74" w14:textId="62FF0D6F" w:rsidR="002455D5" w:rsidRPr="004F2EBD" w:rsidRDefault="002455D5" w:rsidP="005834C7">
      <w:pPr>
        <w:pStyle w:val="NoSpacing"/>
        <w:numPr>
          <w:ilvl w:val="0"/>
          <w:numId w:val="4"/>
        </w:numPr>
        <w:rPr>
          <w:rFonts w:ascii="Arial" w:hAnsi="Arial" w:cs="Arial"/>
          <w:b/>
          <w:bCs/>
          <w:sz w:val="24"/>
          <w:szCs w:val="24"/>
        </w:rPr>
      </w:pPr>
      <w:r w:rsidRPr="004F2EBD">
        <w:rPr>
          <w:rFonts w:ascii="Arial" w:hAnsi="Arial" w:cs="Arial"/>
          <w:b/>
          <w:bCs/>
          <w:sz w:val="24"/>
          <w:szCs w:val="24"/>
        </w:rPr>
        <w:t xml:space="preserve">Background </w:t>
      </w:r>
    </w:p>
    <w:p w14:paraId="04EC2B9D" w14:textId="77777777" w:rsidR="002455D5" w:rsidRPr="004F2EBD" w:rsidRDefault="002455D5" w:rsidP="002455D5">
      <w:pPr>
        <w:pStyle w:val="NoSpacing"/>
        <w:rPr>
          <w:rFonts w:ascii="Arial" w:hAnsi="Arial" w:cs="Arial"/>
          <w:sz w:val="24"/>
          <w:szCs w:val="24"/>
        </w:rPr>
      </w:pPr>
    </w:p>
    <w:p w14:paraId="6BCE142F" w14:textId="607CFAFE" w:rsidR="00307039" w:rsidRPr="005834C7" w:rsidRDefault="004F2EBD" w:rsidP="005834C7">
      <w:pPr>
        <w:pStyle w:val="ListParagraph"/>
        <w:numPr>
          <w:ilvl w:val="1"/>
          <w:numId w:val="4"/>
        </w:numPr>
        <w:ind w:hanging="720"/>
        <w:rPr>
          <w:rFonts w:ascii="Arial" w:hAnsi="Arial" w:cs="Arial"/>
          <w:sz w:val="24"/>
          <w:szCs w:val="24"/>
        </w:rPr>
      </w:pPr>
      <w:r w:rsidRPr="005834C7">
        <w:rPr>
          <w:rFonts w:ascii="Arial" w:hAnsi="Arial" w:cs="Arial"/>
          <w:sz w:val="24"/>
          <w:szCs w:val="24"/>
        </w:rPr>
        <w:t xml:space="preserve">Under the development of </w:t>
      </w:r>
      <w:r w:rsidR="0047159E" w:rsidRPr="005834C7">
        <w:rPr>
          <w:rFonts w:ascii="Arial" w:hAnsi="Arial" w:cs="Arial"/>
          <w:sz w:val="24"/>
          <w:szCs w:val="24"/>
        </w:rPr>
        <w:t xml:space="preserve">Stage 1 of </w:t>
      </w:r>
      <w:r w:rsidRPr="005834C7">
        <w:rPr>
          <w:rFonts w:ascii="Arial" w:hAnsi="Arial" w:cs="Arial"/>
          <w:sz w:val="24"/>
          <w:szCs w:val="24"/>
        </w:rPr>
        <w:t>the Long Term Plan for Towns</w:t>
      </w:r>
      <w:r w:rsidR="002A7ECE" w:rsidRPr="005834C7">
        <w:rPr>
          <w:rFonts w:ascii="Arial" w:hAnsi="Arial" w:cs="Arial"/>
          <w:sz w:val="24"/>
          <w:szCs w:val="24"/>
        </w:rPr>
        <w:t xml:space="preserve"> (</w:t>
      </w:r>
      <w:proofErr w:type="spellStart"/>
      <w:r w:rsidR="002A7ECE" w:rsidRPr="005834C7">
        <w:rPr>
          <w:rFonts w:ascii="Arial" w:hAnsi="Arial" w:cs="Arial"/>
          <w:sz w:val="24"/>
          <w:szCs w:val="24"/>
        </w:rPr>
        <w:t>LTPfT</w:t>
      </w:r>
      <w:proofErr w:type="spellEnd"/>
      <w:r w:rsidR="002A7ECE" w:rsidRPr="005834C7">
        <w:rPr>
          <w:rFonts w:ascii="Arial" w:hAnsi="Arial" w:cs="Arial"/>
          <w:sz w:val="24"/>
          <w:szCs w:val="24"/>
        </w:rPr>
        <w:t>)</w:t>
      </w:r>
      <w:r w:rsidR="0047159E" w:rsidRPr="005834C7">
        <w:rPr>
          <w:rFonts w:ascii="Arial" w:hAnsi="Arial" w:cs="Arial"/>
          <w:sz w:val="24"/>
          <w:szCs w:val="24"/>
        </w:rPr>
        <w:t xml:space="preserve"> </w:t>
      </w:r>
      <w:r w:rsidRPr="005834C7">
        <w:rPr>
          <w:rFonts w:ascii="Arial" w:hAnsi="Arial" w:cs="Arial"/>
          <w:sz w:val="24"/>
          <w:szCs w:val="24"/>
        </w:rPr>
        <w:t xml:space="preserve">Place Board members will recall the then government offered its view on a tightly defined area for the programme.  This was effectively detailed as the Mansfield urban area, based on defined </w:t>
      </w:r>
      <w:r w:rsidR="0047159E" w:rsidRPr="005834C7">
        <w:rPr>
          <w:rFonts w:ascii="Arial" w:hAnsi="Arial" w:cs="Arial"/>
          <w:sz w:val="24"/>
          <w:szCs w:val="24"/>
        </w:rPr>
        <w:t xml:space="preserve">ONS </w:t>
      </w:r>
      <w:r w:rsidRPr="005834C7">
        <w:rPr>
          <w:rFonts w:ascii="Arial" w:hAnsi="Arial" w:cs="Arial"/>
          <w:sz w:val="24"/>
          <w:szCs w:val="24"/>
        </w:rPr>
        <w:t xml:space="preserve">data contained within a published data pack. </w:t>
      </w:r>
    </w:p>
    <w:p w14:paraId="65E57C77" w14:textId="72F6D16F" w:rsidR="004F2EBD" w:rsidRDefault="004F2EBD" w:rsidP="004F2EBD">
      <w:pPr>
        <w:pStyle w:val="ListParagraph"/>
        <w:ind w:left="360"/>
        <w:rPr>
          <w:rFonts w:ascii="Arial" w:hAnsi="Arial" w:cs="Arial"/>
          <w:sz w:val="24"/>
          <w:szCs w:val="24"/>
        </w:rPr>
      </w:pPr>
    </w:p>
    <w:p w14:paraId="458A59B5" w14:textId="3EE73AE9" w:rsidR="005834C7" w:rsidRDefault="004F2EBD" w:rsidP="005834C7">
      <w:pPr>
        <w:pStyle w:val="ListParagraph"/>
        <w:numPr>
          <w:ilvl w:val="1"/>
          <w:numId w:val="4"/>
        </w:numPr>
        <w:ind w:hanging="720"/>
        <w:rPr>
          <w:rFonts w:ascii="Arial" w:hAnsi="Arial" w:cs="Arial"/>
          <w:sz w:val="24"/>
          <w:szCs w:val="24"/>
        </w:rPr>
      </w:pPr>
      <w:r w:rsidRPr="005834C7">
        <w:rPr>
          <w:rFonts w:ascii="Arial" w:hAnsi="Arial" w:cs="Arial"/>
          <w:sz w:val="24"/>
          <w:szCs w:val="24"/>
        </w:rPr>
        <w:t>At that time</w:t>
      </w:r>
      <w:r w:rsidR="0047159E" w:rsidRPr="005834C7">
        <w:rPr>
          <w:rFonts w:ascii="Arial" w:hAnsi="Arial" w:cs="Arial"/>
          <w:sz w:val="24"/>
          <w:szCs w:val="24"/>
        </w:rPr>
        <w:t>,</w:t>
      </w:r>
      <w:r w:rsidRPr="005834C7">
        <w:rPr>
          <w:rFonts w:ascii="Arial" w:hAnsi="Arial" w:cs="Arial"/>
          <w:sz w:val="24"/>
          <w:szCs w:val="24"/>
        </w:rPr>
        <w:t xml:space="preserve"> the Board took advice from the government on the flexibility to challenge this area and it was agreed that the communities of Forest Town and Mansfield Woodhouse should be included as contiguous to the urban area.  </w:t>
      </w:r>
      <w:r w:rsidR="0047159E" w:rsidRPr="005834C7">
        <w:rPr>
          <w:rFonts w:ascii="Arial" w:hAnsi="Arial" w:cs="Arial"/>
          <w:sz w:val="24"/>
          <w:szCs w:val="24"/>
        </w:rPr>
        <w:t xml:space="preserve">This was then included in the Stage 1 submission, reflecting that a district-wide approach was not likely to be supported and specifically the Warsop communities were thus not included in the submission.  </w:t>
      </w:r>
    </w:p>
    <w:p w14:paraId="198FF8FB" w14:textId="77777777" w:rsidR="005834C7" w:rsidRPr="005834C7" w:rsidRDefault="005834C7" w:rsidP="005834C7">
      <w:pPr>
        <w:pStyle w:val="ListParagraph"/>
        <w:rPr>
          <w:rFonts w:ascii="Arial" w:hAnsi="Arial" w:cs="Arial"/>
          <w:sz w:val="24"/>
          <w:szCs w:val="24"/>
        </w:rPr>
      </w:pPr>
    </w:p>
    <w:p w14:paraId="6AC1A0EB" w14:textId="617ABA17" w:rsidR="0047159E" w:rsidRPr="005834C7" w:rsidRDefault="0047159E" w:rsidP="005834C7">
      <w:pPr>
        <w:pStyle w:val="ListParagraph"/>
        <w:numPr>
          <w:ilvl w:val="1"/>
          <w:numId w:val="4"/>
        </w:numPr>
        <w:ind w:hanging="720"/>
        <w:rPr>
          <w:rFonts w:ascii="Arial" w:hAnsi="Arial" w:cs="Arial"/>
          <w:sz w:val="24"/>
          <w:szCs w:val="24"/>
        </w:rPr>
      </w:pPr>
      <w:r w:rsidRPr="005834C7">
        <w:rPr>
          <w:rFonts w:ascii="Arial" w:hAnsi="Arial" w:cs="Arial"/>
          <w:sz w:val="24"/>
          <w:szCs w:val="24"/>
        </w:rPr>
        <w:t xml:space="preserve">On the back of this first stage submission, the Council secured the promised capacity funding, and this defined area was further reinforced in the submission made to the new Minster at MHCLG when sharing the Board’s 10 Year Vision and Investment Plan just before the Autumn Statement in November 2024. </w:t>
      </w:r>
    </w:p>
    <w:p w14:paraId="21475241" w14:textId="77777777" w:rsidR="0047159E" w:rsidRPr="0047159E" w:rsidRDefault="0047159E" w:rsidP="0047159E">
      <w:pPr>
        <w:pStyle w:val="ListParagraph"/>
        <w:rPr>
          <w:rFonts w:ascii="Arial" w:hAnsi="Arial" w:cs="Arial"/>
          <w:sz w:val="24"/>
          <w:szCs w:val="24"/>
        </w:rPr>
      </w:pPr>
    </w:p>
    <w:p w14:paraId="523E59BE" w14:textId="45DDD1D6" w:rsidR="005834C7" w:rsidRDefault="0047159E" w:rsidP="005834C7">
      <w:pPr>
        <w:pStyle w:val="ListParagraph"/>
        <w:numPr>
          <w:ilvl w:val="1"/>
          <w:numId w:val="4"/>
        </w:numPr>
        <w:spacing w:after="0"/>
        <w:ind w:hanging="720"/>
        <w:rPr>
          <w:rFonts w:ascii="Arial" w:hAnsi="Arial" w:cs="Arial"/>
          <w:sz w:val="24"/>
          <w:szCs w:val="24"/>
        </w:rPr>
      </w:pPr>
      <w:r w:rsidRPr="005834C7">
        <w:rPr>
          <w:rFonts w:ascii="Arial" w:hAnsi="Arial" w:cs="Arial"/>
          <w:sz w:val="24"/>
          <w:szCs w:val="24"/>
        </w:rPr>
        <w:t>The new successor scheme</w:t>
      </w:r>
      <w:r w:rsidR="008C3BB0" w:rsidRPr="005834C7">
        <w:rPr>
          <w:rFonts w:ascii="Arial" w:hAnsi="Arial" w:cs="Arial"/>
          <w:sz w:val="24"/>
          <w:szCs w:val="24"/>
        </w:rPr>
        <w:t xml:space="preserve"> </w:t>
      </w:r>
      <w:proofErr w:type="spellStart"/>
      <w:r w:rsidR="008C3BB0" w:rsidRPr="005834C7">
        <w:rPr>
          <w:rFonts w:ascii="Arial" w:hAnsi="Arial" w:cs="Arial"/>
          <w:sz w:val="24"/>
          <w:szCs w:val="24"/>
        </w:rPr>
        <w:t>PfN</w:t>
      </w:r>
      <w:proofErr w:type="spellEnd"/>
      <w:r w:rsidR="008C3BB0" w:rsidRPr="005834C7">
        <w:rPr>
          <w:rFonts w:ascii="Arial" w:hAnsi="Arial" w:cs="Arial"/>
          <w:sz w:val="24"/>
          <w:szCs w:val="24"/>
        </w:rPr>
        <w:t xml:space="preserve"> </w:t>
      </w:r>
      <w:r w:rsidRPr="005834C7">
        <w:rPr>
          <w:rFonts w:ascii="Arial" w:hAnsi="Arial" w:cs="Arial"/>
          <w:sz w:val="24"/>
          <w:szCs w:val="24"/>
        </w:rPr>
        <w:t>seeks that eligible areas offer confirmation of the area or offer proposed adjustments</w:t>
      </w:r>
      <w:r w:rsidR="005C0644" w:rsidRPr="005834C7">
        <w:rPr>
          <w:rFonts w:ascii="Arial" w:hAnsi="Arial" w:cs="Arial"/>
          <w:sz w:val="24"/>
          <w:szCs w:val="24"/>
        </w:rPr>
        <w:t xml:space="preserve"> by the 22 April</w:t>
      </w:r>
      <w:r w:rsidR="008C3BB0" w:rsidRPr="005834C7">
        <w:rPr>
          <w:rFonts w:ascii="Arial" w:hAnsi="Arial" w:cs="Arial"/>
          <w:sz w:val="24"/>
          <w:szCs w:val="24"/>
        </w:rPr>
        <w:t xml:space="preserve"> 2025</w:t>
      </w:r>
      <w:r w:rsidR="005C0644" w:rsidRPr="005834C7">
        <w:rPr>
          <w:rFonts w:ascii="Arial" w:hAnsi="Arial" w:cs="Arial"/>
          <w:sz w:val="24"/>
          <w:szCs w:val="24"/>
        </w:rPr>
        <w:t>.</w:t>
      </w:r>
      <w:r w:rsidRPr="005834C7">
        <w:rPr>
          <w:rFonts w:ascii="Arial" w:hAnsi="Arial" w:cs="Arial"/>
          <w:sz w:val="24"/>
          <w:szCs w:val="24"/>
        </w:rPr>
        <w:t xml:space="preserve"> </w:t>
      </w:r>
    </w:p>
    <w:p w14:paraId="30543A41" w14:textId="77777777" w:rsidR="005834C7" w:rsidRPr="005834C7" w:rsidRDefault="005834C7" w:rsidP="005834C7">
      <w:pPr>
        <w:rPr>
          <w:rFonts w:ascii="Arial" w:hAnsi="Arial" w:cs="Arial"/>
          <w:sz w:val="24"/>
          <w:szCs w:val="24"/>
        </w:rPr>
      </w:pPr>
    </w:p>
    <w:p w14:paraId="1EDF7B2D" w14:textId="7288497D" w:rsidR="002A7ECE" w:rsidRPr="005834C7" w:rsidRDefault="002A7ECE" w:rsidP="005834C7">
      <w:pPr>
        <w:pStyle w:val="ListParagraph"/>
        <w:numPr>
          <w:ilvl w:val="0"/>
          <w:numId w:val="4"/>
        </w:numPr>
        <w:ind w:hanging="720"/>
        <w:rPr>
          <w:rFonts w:ascii="Arial" w:hAnsi="Arial" w:cs="Arial"/>
          <w:b/>
          <w:bCs/>
          <w:sz w:val="24"/>
          <w:szCs w:val="24"/>
        </w:rPr>
      </w:pPr>
      <w:r w:rsidRPr="005834C7">
        <w:rPr>
          <w:rFonts w:ascii="Arial" w:hAnsi="Arial" w:cs="Arial"/>
          <w:b/>
          <w:bCs/>
          <w:sz w:val="24"/>
          <w:szCs w:val="24"/>
        </w:rPr>
        <w:t>Considerations</w:t>
      </w:r>
    </w:p>
    <w:p w14:paraId="77C118F1" w14:textId="687B8B47" w:rsidR="000E34CE" w:rsidRPr="005834C7" w:rsidRDefault="005834C7" w:rsidP="005834C7">
      <w:pPr>
        <w:ind w:left="709" w:hanging="709"/>
        <w:rPr>
          <w:rFonts w:ascii="Arial" w:hAnsi="Arial" w:cs="Arial"/>
          <w:sz w:val="24"/>
          <w:szCs w:val="24"/>
        </w:rPr>
      </w:pPr>
      <w:r>
        <w:rPr>
          <w:rFonts w:ascii="Arial" w:hAnsi="Arial" w:cs="Arial"/>
          <w:sz w:val="24"/>
          <w:szCs w:val="24"/>
        </w:rPr>
        <w:t>3.1</w:t>
      </w:r>
      <w:r>
        <w:rPr>
          <w:rFonts w:ascii="Arial" w:hAnsi="Arial" w:cs="Arial"/>
          <w:sz w:val="24"/>
          <w:szCs w:val="24"/>
        </w:rPr>
        <w:tab/>
      </w:r>
      <w:r w:rsidR="002A7ECE" w:rsidRPr="005834C7">
        <w:rPr>
          <w:rFonts w:ascii="Arial" w:hAnsi="Arial" w:cs="Arial"/>
          <w:sz w:val="24"/>
          <w:szCs w:val="24"/>
        </w:rPr>
        <w:t xml:space="preserve">While the </w:t>
      </w:r>
      <w:proofErr w:type="spellStart"/>
      <w:r w:rsidR="002A7ECE" w:rsidRPr="005834C7">
        <w:rPr>
          <w:rFonts w:ascii="Arial" w:hAnsi="Arial" w:cs="Arial"/>
          <w:sz w:val="24"/>
          <w:szCs w:val="24"/>
        </w:rPr>
        <w:t>PfN</w:t>
      </w:r>
      <w:proofErr w:type="spellEnd"/>
      <w:r w:rsidR="002A7ECE" w:rsidRPr="005834C7">
        <w:rPr>
          <w:rFonts w:ascii="Arial" w:hAnsi="Arial" w:cs="Arial"/>
          <w:sz w:val="24"/>
          <w:szCs w:val="24"/>
        </w:rPr>
        <w:t xml:space="preserve"> offers the opportunity to review and confirm the defined area, the following considerations apply:</w:t>
      </w:r>
    </w:p>
    <w:p w14:paraId="45E6CEB6" w14:textId="7B603723" w:rsidR="000E34CE" w:rsidRPr="00741840" w:rsidRDefault="000E34CE" w:rsidP="00741840">
      <w:pPr>
        <w:pStyle w:val="NoSpacing"/>
        <w:numPr>
          <w:ilvl w:val="0"/>
          <w:numId w:val="3"/>
        </w:numPr>
        <w:rPr>
          <w:rFonts w:ascii="Arial" w:hAnsi="Arial" w:cs="Arial"/>
          <w:sz w:val="24"/>
          <w:szCs w:val="24"/>
        </w:rPr>
      </w:pPr>
      <w:r w:rsidRPr="00741840">
        <w:rPr>
          <w:rFonts w:ascii="Arial" w:hAnsi="Arial" w:cs="Arial"/>
          <w:sz w:val="24"/>
          <w:szCs w:val="24"/>
        </w:rPr>
        <w:lastRenderedPageBreak/>
        <w:t xml:space="preserve">As with the </w:t>
      </w:r>
      <w:proofErr w:type="spellStart"/>
      <w:r w:rsidRPr="00741840">
        <w:rPr>
          <w:rFonts w:ascii="Arial" w:hAnsi="Arial" w:cs="Arial"/>
          <w:sz w:val="24"/>
          <w:szCs w:val="24"/>
        </w:rPr>
        <w:t>LTPfT</w:t>
      </w:r>
      <w:proofErr w:type="spellEnd"/>
      <w:r w:rsidRPr="00741840">
        <w:rPr>
          <w:rFonts w:ascii="Arial" w:hAnsi="Arial" w:cs="Arial"/>
          <w:sz w:val="24"/>
          <w:szCs w:val="24"/>
        </w:rPr>
        <w:t xml:space="preserve">, the area is based on a defined contiguous urban area and that suggests that the defined area within the Vision and Investment Plan still applies, </w:t>
      </w:r>
      <w:proofErr w:type="spellStart"/>
      <w:r w:rsidRPr="00741840">
        <w:rPr>
          <w:rFonts w:ascii="Arial" w:hAnsi="Arial" w:cs="Arial"/>
          <w:sz w:val="24"/>
          <w:szCs w:val="24"/>
        </w:rPr>
        <w:t>ie</w:t>
      </w:r>
      <w:proofErr w:type="spellEnd"/>
      <w:r w:rsidRPr="00741840">
        <w:rPr>
          <w:rFonts w:ascii="Arial" w:hAnsi="Arial" w:cs="Arial"/>
          <w:sz w:val="24"/>
          <w:szCs w:val="24"/>
        </w:rPr>
        <w:t xml:space="preserve"> the built-up area of Mansfield, including Forest Town and Mansfield Woodhouse.</w:t>
      </w:r>
    </w:p>
    <w:p w14:paraId="14F3772E" w14:textId="77777777" w:rsidR="00741840" w:rsidRDefault="000E34CE" w:rsidP="00741840">
      <w:pPr>
        <w:pStyle w:val="NoSpacing"/>
        <w:numPr>
          <w:ilvl w:val="0"/>
          <w:numId w:val="3"/>
        </w:numPr>
        <w:rPr>
          <w:rFonts w:ascii="Arial" w:hAnsi="Arial" w:cs="Arial"/>
          <w:sz w:val="24"/>
          <w:szCs w:val="24"/>
        </w:rPr>
      </w:pPr>
      <w:r w:rsidRPr="00741840">
        <w:rPr>
          <w:rFonts w:ascii="Arial" w:hAnsi="Arial" w:cs="Arial"/>
          <w:sz w:val="24"/>
          <w:szCs w:val="24"/>
        </w:rPr>
        <w:t xml:space="preserve">With an enhanced focus on communities of need and on tackling disadvantage within the </w:t>
      </w:r>
      <w:proofErr w:type="spellStart"/>
      <w:r w:rsidRPr="00741840">
        <w:rPr>
          <w:rFonts w:ascii="Arial" w:hAnsi="Arial" w:cs="Arial"/>
          <w:sz w:val="24"/>
          <w:szCs w:val="24"/>
        </w:rPr>
        <w:t>PfN</w:t>
      </w:r>
      <w:proofErr w:type="spellEnd"/>
      <w:r w:rsidRPr="00741840">
        <w:rPr>
          <w:rFonts w:ascii="Arial" w:hAnsi="Arial" w:cs="Arial"/>
          <w:sz w:val="24"/>
          <w:szCs w:val="24"/>
        </w:rPr>
        <w:t>, the exclusion of the Warsop communities may be seen as a concern.</w:t>
      </w:r>
    </w:p>
    <w:p w14:paraId="6BD24E4C" w14:textId="77777777" w:rsidR="00741840" w:rsidRDefault="000E34CE" w:rsidP="00741840">
      <w:pPr>
        <w:pStyle w:val="NoSpacing"/>
        <w:numPr>
          <w:ilvl w:val="0"/>
          <w:numId w:val="3"/>
        </w:numPr>
        <w:rPr>
          <w:rFonts w:ascii="Arial" w:hAnsi="Arial" w:cs="Arial"/>
          <w:sz w:val="24"/>
          <w:szCs w:val="24"/>
        </w:rPr>
      </w:pPr>
      <w:r w:rsidRPr="00741840">
        <w:rPr>
          <w:rFonts w:ascii="Arial" w:hAnsi="Arial" w:cs="Arial"/>
          <w:sz w:val="24"/>
          <w:szCs w:val="24"/>
        </w:rPr>
        <w:t>This does not necessarily mean that this requests a full district-wide approach which again, is unlikely to be supported, but one which looks to facilitate their inclusion</w:t>
      </w:r>
      <w:r w:rsidR="00975D50" w:rsidRPr="00741840">
        <w:rPr>
          <w:rFonts w:ascii="Arial" w:hAnsi="Arial" w:cs="Arial"/>
          <w:sz w:val="24"/>
          <w:szCs w:val="24"/>
        </w:rPr>
        <w:t xml:space="preserve"> along the A60 corridor</w:t>
      </w:r>
      <w:r w:rsidRPr="00741840">
        <w:rPr>
          <w:rFonts w:ascii="Arial" w:hAnsi="Arial" w:cs="Arial"/>
          <w:sz w:val="24"/>
          <w:szCs w:val="24"/>
        </w:rPr>
        <w:t xml:space="preserve">. </w:t>
      </w:r>
    </w:p>
    <w:p w14:paraId="342AF798" w14:textId="2EB1C78E" w:rsidR="00741840" w:rsidRDefault="000E34CE" w:rsidP="000E34CE">
      <w:pPr>
        <w:pStyle w:val="NoSpacing"/>
        <w:numPr>
          <w:ilvl w:val="0"/>
          <w:numId w:val="3"/>
        </w:numPr>
        <w:rPr>
          <w:rFonts w:ascii="Arial" w:hAnsi="Arial" w:cs="Arial"/>
          <w:sz w:val="24"/>
          <w:szCs w:val="24"/>
        </w:rPr>
      </w:pPr>
      <w:r w:rsidRPr="00741840">
        <w:rPr>
          <w:rFonts w:ascii="Arial" w:hAnsi="Arial" w:cs="Arial"/>
          <w:sz w:val="24"/>
          <w:szCs w:val="24"/>
        </w:rPr>
        <w:t xml:space="preserve">While offering potential for the Warsop communities’ inclusion, the wider considerations still look to apply – </w:t>
      </w:r>
      <w:proofErr w:type="spellStart"/>
      <w:r w:rsidRPr="00741840">
        <w:rPr>
          <w:rFonts w:ascii="Arial" w:hAnsi="Arial" w:cs="Arial"/>
          <w:sz w:val="24"/>
          <w:szCs w:val="24"/>
        </w:rPr>
        <w:t>ie</w:t>
      </w:r>
      <w:proofErr w:type="spellEnd"/>
      <w:r w:rsidRPr="00741840">
        <w:rPr>
          <w:rFonts w:ascii="Arial" w:hAnsi="Arial" w:cs="Arial"/>
          <w:sz w:val="24"/>
          <w:szCs w:val="24"/>
        </w:rPr>
        <w:t xml:space="preserve"> that the defined area must be contiguous.</w:t>
      </w:r>
    </w:p>
    <w:p w14:paraId="672922F4" w14:textId="77777777" w:rsidR="00741840" w:rsidRPr="00741840" w:rsidRDefault="00741840" w:rsidP="00741840">
      <w:pPr>
        <w:pStyle w:val="NoSpacing"/>
        <w:ind w:left="720"/>
        <w:rPr>
          <w:rFonts w:ascii="Arial" w:hAnsi="Arial" w:cs="Arial"/>
          <w:sz w:val="24"/>
          <w:szCs w:val="24"/>
        </w:rPr>
      </w:pPr>
    </w:p>
    <w:p w14:paraId="542BBA92" w14:textId="2D984E15" w:rsidR="000E34CE" w:rsidRDefault="000E34CE" w:rsidP="005834C7">
      <w:pPr>
        <w:pStyle w:val="ListParagraph"/>
        <w:numPr>
          <w:ilvl w:val="0"/>
          <w:numId w:val="4"/>
        </w:numPr>
        <w:ind w:hanging="720"/>
        <w:rPr>
          <w:rFonts w:ascii="Arial" w:hAnsi="Arial" w:cs="Arial"/>
          <w:b/>
          <w:bCs/>
          <w:sz w:val="24"/>
          <w:szCs w:val="24"/>
        </w:rPr>
      </w:pPr>
      <w:r w:rsidRPr="005834C7">
        <w:rPr>
          <w:rFonts w:ascii="Arial" w:hAnsi="Arial" w:cs="Arial"/>
          <w:b/>
          <w:bCs/>
          <w:sz w:val="24"/>
          <w:szCs w:val="24"/>
        </w:rPr>
        <w:t>Comment</w:t>
      </w:r>
    </w:p>
    <w:p w14:paraId="57058F83" w14:textId="77777777" w:rsidR="005834C7" w:rsidRPr="005834C7" w:rsidRDefault="005834C7" w:rsidP="005834C7">
      <w:pPr>
        <w:pStyle w:val="ListParagraph"/>
        <w:rPr>
          <w:rFonts w:ascii="Arial" w:hAnsi="Arial" w:cs="Arial"/>
          <w:b/>
          <w:bCs/>
          <w:sz w:val="24"/>
          <w:szCs w:val="24"/>
        </w:rPr>
      </w:pPr>
    </w:p>
    <w:p w14:paraId="4BE47BFD" w14:textId="4F56BC4A" w:rsidR="000E34CE" w:rsidRPr="005834C7" w:rsidRDefault="000E34CE" w:rsidP="005834C7">
      <w:pPr>
        <w:pStyle w:val="ListParagraph"/>
        <w:numPr>
          <w:ilvl w:val="1"/>
          <w:numId w:val="4"/>
        </w:numPr>
        <w:ind w:hanging="720"/>
        <w:rPr>
          <w:rFonts w:ascii="Arial" w:hAnsi="Arial" w:cs="Arial"/>
          <w:sz w:val="24"/>
          <w:szCs w:val="24"/>
        </w:rPr>
      </w:pPr>
      <w:proofErr w:type="gramStart"/>
      <w:r w:rsidRPr="005834C7">
        <w:rPr>
          <w:rFonts w:ascii="Arial" w:hAnsi="Arial" w:cs="Arial"/>
          <w:sz w:val="24"/>
          <w:szCs w:val="24"/>
        </w:rPr>
        <w:t>It would appear that a</w:t>
      </w:r>
      <w:proofErr w:type="gramEnd"/>
      <w:r w:rsidRPr="005834C7">
        <w:rPr>
          <w:rFonts w:ascii="Arial" w:hAnsi="Arial" w:cs="Arial"/>
          <w:sz w:val="24"/>
          <w:szCs w:val="24"/>
        </w:rPr>
        <w:t xml:space="preserve"> full </w:t>
      </w:r>
      <w:r w:rsidR="00975D50" w:rsidRPr="005834C7">
        <w:rPr>
          <w:rFonts w:ascii="Arial" w:hAnsi="Arial" w:cs="Arial"/>
          <w:sz w:val="24"/>
          <w:szCs w:val="24"/>
        </w:rPr>
        <w:t xml:space="preserve">district-wide area would not be acceptable to MHCLG and defining an area </w:t>
      </w:r>
      <w:r w:rsidR="00741840" w:rsidRPr="005834C7">
        <w:rPr>
          <w:rFonts w:ascii="Arial" w:hAnsi="Arial" w:cs="Arial"/>
          <w:sz w:val="24"/>
          <w:szCs w:val="24"/>
        </w:rPr>
        <w:t xml:space="preserve">as </w:t>
      </w:r>
      <w:r w:rsidR="00975D50" w:rsidRPr="005834C7">
        <w:rPr>
          <w:rFonts w:ascii="Arial" w:hAnsi="Arial" w:cs="Arial"/>
          <w:sz w:val="24"/>
          <w:szCs w:val="24"/>
        </w:rPr>
        <w:t>one</w:t>
      </w:r>
      <w:r w:rsidR="00741840" w:rsidRPr="005834C7">
        <w:rPr>
          <w:rFonts w:ascii="Arial" w:hAnsi="Arial" w:cs="Arial"/>
          <w:sz w:val="24"/>
          <w:szCs w:val="24"/>
        </w:rPr>
        <w:t>,</w:t>
      </w:r>
      <w:r w:rsidR="00975D50" w:rsidRPr="005834C7">
        <w:rPr>
          <w:rFonts w:ascii="Arial" w:hAnsi="Arial" w:cs="Arial"/>
          <w:sz w:val="24"/>
          <w:szCs w:val="24"/>
        </w:rPr>
        <w:t xml:space="preserve"> contiguous</w:t>
      </w:r>
      <w:r w:rsidR="00741840" w:rsidRPr="005834C7">
        <w:rPr>
          <w:rFonts w:ascii="Arial" w:hAnsi="Arial" w:cs="Arial"/>
          <w:sz w:val="24"/>
          <w:szCs w:val="24"/>
        </w:rPr>
        <w:t>,</w:t>
      </w:r>
      <w:r w:rsidR="00975D50" w:rsidRPr="005834C7">
        <w:rPr>
          <w:rFonts w:ascii="Arial" w:hAnsi="Arial" w:cs="Arial"/>
          <w:sz w:val="24"/>
          <w:szCs w:val="24"/>
        </w:rPr>
        <w:t xml:space="preserve"> urban area appears key.</w:t>
      </w:r>
    </w:p>
    <w:p w14:paraId="19A044D0" w14:textId="1A8FDB48" w:rsidR="0040374D" w:rsidRPr="005834C7" w:rsidRDefault="005834C7" w:rsidP="005834C7">
      <w:pPr>
        <w:ind w:left="709" w:hanging="709"/>
        <w:rPr>
          <w:rFonts w:ascii="Arial" w:hAnsi="Arial" w:cs="Arial"/>
          <w:sz w:val="24"/>
          <w:szCs w:val="24"/>
        </w:rPr>
      </w:pPr>
      <w:r>
        <w:rPr>
          <w:rFonts w:ascii="Arial" w:hAnsi="Arial" w:cs="Arial"/>
          <w:sz w:val="24"/>
          <w:szCs w:val="24"/>
        </w:rPr>
        <w:t xml:space="preserve">4.2      </w:t>
      </w:r>
      <w:r w:rsidR="00975D50" w:rsidRPr="005834C7">
        <w:rPr>
          <w:rFonts w:ascii="Arial" w:hAnsi="Arial" w:cs="Arial"/>
          <w:sz w:val="24"/>
          <w:szCs w:val="24"/>
        </w:rPr>
        <w:t xml:space="preserve">Fundamentally, </w:t>
      </w:r>
      <w:r w:rsidR="0040374D" w:rsidRPr="005834C7">
        <w:rPr>
          <w:rFonts w:ascii="Arial" w:hAnsi="Arial" w:cs="Arial"/>
          <w:sz w:val="24"/>
          <w:szCs w:val="24"/>
        </w:rPr>
        <w:t xml:space="preserve">as a baseline, </w:t>
      </w:r>
      <w:r w:rsidR="00975D50" w:rsidRPr="005834C7">
        <w:rPr>
          <w:rFonts w:ascii="Arial" w:hAnsi="Arial" w:cs="Arial"/>
          <w:sz w:val="24"/>
          <w:szCs w:val="24"/>
        </w:rPr>
        <w:t>it is proposed</w:t>
      </w:r>
      <w:r w:rsidR="005C0644" w:rsidRPr="005834C7">
        <w:rPr>
          <w:rFonts w:ascii="Arial" w:hAnsi="Arial" w:cs="Arial"/>
          <w:sz w:val="24"/>
          <w:szCs w:val="24"/>
        </w:rPr>
        <w:t xml:space="preserve"> that</w:t>
      </w:r>
      <w:r w:rsidR="00975D50" w:rsidRPr="005834C7">
        <w:rPr>
          <w:rFonts w:ascii="Arial" w:hAnsi="Arial" w:cs="Arial"/>
          <w:sz w:val="24"/>
          <w:szCs w:val="24"/>
        </w:rPr>
        <w:t xml:space="preserve"> the Board seek</w:t>
      </w:r>
      <w:r w:rsidR="0040374D" w:rsidRPr="005834C7">
        <w:rPr>
          <w:rFonts w:ascii="Arial" w:hAnsi="Arial" w:cs="Arial"/>
          <w:sz w:val="24"/>
          <w:szCs w:val="24"/>
        </w:rPr>
        <w:t>s</w:t>
      </w:r>
      <w:r w:rsidR="00975D50" w:rsidRPr="005834C7">
        <w:rPr>
          <w:rFonts w:ascii="Arial" w:hAnsi="Arial" w:cs="Arial"/>
          <w:sz w:val="24"/>
          <w:szCs w:val="24"/>
        </w:rPr>
        <w:t xml:space="preserve"> to reinforce the area as defined within its previous </w:t>
      </w:r>
      <w:proofErr w:type="spellStart"/>
      <w:r w:rsidR="00975D50" w:rsidRPr="005834C7">
        <w:rPr>
          <w:rFonts w:ascii="Arial" w:hAnsi="Arial" w:cs="Arial"/>
          <w:sz w:val="24"/>
          <w:szCs w:val="24"/>
        </w:rPr>
        <w:t>LTPfT</w:t>
      </w:r>
      <w:proofErr w:type="spellEnd"/>
      <w:r w:rsidR="00975D50" w:rsidRPr="005834C7">
        <w:rPr>
          <w:rFonts w:ascii="Arial" w:hAnsi="Arial" w:cs="Arial"/>
          <w:sz w:val="24"/>
          <w:szCs w:val="24"/>
        </w:rPr>
        <w:t xml:space="preserve"> submission</w:t>
      </w:r>
      <w:r w:rsidR="0040374D" w:rsidRPr="005834C7">
        <w:rPr>
          <w:rFonts w:ascii="Arial" w:hAnsi="Arial" w:cs="Arial"/>
          <w:sz w:val="24"/>
          <w:szCs w:val="24"/>
        </w:rPr>
        <w:t>.</w:t>
      </w:r>
      <w:r w:rsidR="00975D50" w:rsidRPr="005834C7">
        <w:rPr>
          <w:rFonts w:ascii="Arial" w:hAnsi="Arial" w:cs="Arial"/>
          <w:sz w:val="24"/>
          <w:szCs w:val="24"/>
        </w:rPr>
        <w:t xml:space="preserve">  However, the exclusion of the Warsop communities over what will be a significant </w:t>
      </w:r>
      <w:proofErr w:type="gramStart"/>
      <w:r w:rsidR="005C0644" w:rsidRPr="005834C7">
        <w:rPr>
          <w:rFonts w:ascii="Arial" w:hAnsi="Arial" w:cs="Arial"/>
          <w:sz w:val="24"/>
          <w:szCs w:val="24"/>
        </w:rPr>
        <w:t xml:space="preserve">time </w:t>
      </w:r>
      <w:r w:rsidR="00975D50" w:rsidRPr="005834C7">
        <w:rPr>
          <w:rFonts w:ascii="Arial" w:hAnsi="Arial" w:cs="Arial"/>
          <w:sz w:val="24"/>
          <w:szCs w:val="24"/>
        </w:rPr>
        <w:t>period</w:t>
      </w:r>
      <w:proofErr w:type="gramEnd"/>
      <w:r w:rsidR="00975D50" w:rsidRPr="005834C7">
        <w:rPr>
          <w:rFonts w:ascii="Arial" w:hAnsi="Arial" w:cs="Arial"/>
          <w:sz w:val="24"/>
          <w:szCs w:val="24"/>
        </w:rPr>
        <w:t xml:space="preserve"> represents a challenge</w:t>
      </w:r>
      <w:r w:rsidR="005C0644" w:rsidRPr="005834C7">
        <w:rPr>
          <w:rFonts w:ascii="Arial" w:hAnsi="Arial" w:cs="Arial"/>
          <w:sz w:val="24"/>
          <w:szCs w:val="24"/>
        </w:rPr>
        <w:t xml:space="preserve">, and subject to consultation with the MP, it is proposed that </w:t>
      </w:r>
      <w:r w:rsidR="0040374D" w:rsidRPr="005834C7">
        <w:rPr>
          <w:rFonts w:ascii="Arial" w:hAnsi="Arial" w:cs="Arial"/>
          <w:sz w:val="24"/>
          <w:szCs w:val="24"/>
        </w:rPr>
        <w:t xml:space="preserve">a case </w:t>
      </w:r>
      <w:r w:rsidR="005C0644" w:rsidRPr="005834C7">
        <w:rPr>
          <w:rFonts w:ascii="Arial" w:hAnsi="Arial" w:cs="Arial"/>
          <w:sz w:val="24"/>
          <w:szCs w:val="24"/>
        </w:rPr>
        <w:t>is</w:t>
      </w:r>
      <w:r w:rsidR="0040374D" w:rsidRPr="005834C7">
        <w:rPr>
          <w:rFonts w:ascii="Arial" w:hAnsi="Arial" w:cs="Arial"/>
          <w:sz w:val="24"/>
          <w:szCs w:val="24"/>
        </w:rPr>
        <w:t xml:space="preserve"> made for </w:t>
      </w:r>
      <w:r w:rsidR="00975D50" w:rsidRPr="005834C7">
        <w:rPr>
          <w:rFonts w:ascii="Arial" w:hAnsi="Arial" w:cs="Arial"/>
          <w:sz w:val="24"/>
          <w:szCs w:val="24"/>
        </w:rPr>
        <w:t>their inclusion.</w:t>
      </w:r>
    </w:p>
    <w:p w14:paraId="2872B8C6" w14:textId="3B3EF329" w:rsidR="00741840" w:rsidRDefault="00975D50" w:rsidP="005834C7">
      <w:pPr>
        <w:pStyle w:val="ListParagraph"/>
        <w:numPr>
          <w:ilvl w:val="1"/>
          <w:numId w:val="5"/>
        </w:numPr>
        <w:ind w:left="709" w:hanging="709"/>
        <w:rPr>
          <w:rFonts w:ascii="Arial" w:hAnsi="Arial" w:cs="Arial"/>
          <w:sz w:val="24"/>
          <w:szCs w:val="24"/>
        </w:rPr>
      </w:pPr>
      <w:r w:rsidRPr="005834C7">
        <w:rPr>
          <w:rFonts w:ascii="Arial" w:hAnsi="Arial" w:cs="Arial"/>
          <w:sz w:val="24"/>
          <w:szCs w:val="24"/>
        </w:rPr>
        <w:t xml:space="preserve">This could be </w:t>
      </w:r>
      <w:r w:rsidR="0040374D" w:rsidRPr="005834C7">
        <w:rPr>
          <w:rFonts w:ascii="Arial" w:hAnsi="Arial" w:cs="Arial"/>
          <w:sz w:val="24"/>
          <w:szCs w:val="24"/>
        </w:rPr>
        <w:t xml:space="preserve">facilitated </w:t>
      </w:r>
      <w:r w:rsidRPr="005834C7">
        <w:rPr>
          <w:rFonts w:ascii="Arial" w:hAnsi="Arial" w:cs="Arial"/>
          <w:sz w:val="24"/>
          <w:szCs w:val="24"/>
        </w:rPr>
        <w:t xml:space="preserve">through the above referenced corridor approach, </w:t>
      </w:r>
      <w:proofErr w:type="gramStart"/>
      <w:r w:rsidR="0040374D" w:rsidRPr="005834C7">
        <w:rPr>
          <w:rFonts w:ascii="Arial" w:hAnsi="Arial" w:cs="Arial"/>
          <w:sz w:val="24"/>
          <w:szCs w:val="24"/>
        </w:rPr>
        <w:t xml:space="preserve">making </w:t>
      </w:r>
      <w:r w:rsidRPr="005834C7">
        <w:rPr>
          <w:rFonts w:ascii="Arial" w:hAnsi="Arial" w:cs="Arial"/>
          <w:sz w:val="24"/>
          <w:szCs w:val="24"/>
        </w:rPr>
        <w:t>reference</w:t>
      </w:r>
      <w:proofErr w:type="gramEnd"/>
      <w:r w:rsidRPr="005834C7">
        <w:rPr>
          <w:rFonts w:ascii="Arial" w:hAnsi="Arial" w:cs="Arial"/>
          <w:sz w:val="24"/>
          <w:szCs w:val="24"/>
        </w:rPr>
        <w:t xml:space="preserve"> to their disadvantaged status</w:t>
      </w:r>
      <w:r w:rsidR="0040374D" w:rsidRPr="005834C7">
        <w:rPr>
          <w:rFonts w:ascii="Arial" w:hAnsi="Arial" w:cs="Arial"/>
          <w:sz w:val="24"/>
          <w:szCs w:val="24"/>
        </w:rPr>
        <w:t xml:space="preserve"> (recognising the </w:t>
      </w:r>
      <w:r w:rsidR="005C0644" w:rsidRPr="005834C7">
        <w:rPr>
          <w:rFonts w:ascii="Arial" w:hAnsi="Arial" w:cs="Arial"/>
          <w:sz w:val="24"/>
          <w:szCs w:val="24"/>
        </w:rPr>
        <w:t xml:space="preserve">fundamental </w:t>
      </w:r>
      <w:r w:rsidR="0040374D" w:rsidRPr="005834C7">
        <w:rPr>
          <w:rFonts w:ascii="Arial" w:hAnsi="Arial" w:cs="Arial"/>
          <w:sz w:val="24"/>
          <w:szCs w:val="24"/>
        </w:rPr>
        <w:t xml:space="preserve">tone of the new </w:t>
      </w:r>
      <w:proofErr w:type="spellStart"/>
      <w:r w:rsidR="0040374D" w:rsidRPr="005834C7">
        <w:rPr>
          <w:rFonts w:ascii="Arial" w:hAnsi="Arial" w:cs="Arial"/>
          <w:sz w:val="24"/>
          <w:szCs w:val="24"/>
        </w:rPr>
        <w:t>PfN</w:t>
      </w:r>
      <w:proofErr w:type="spellEnd"/>
      <w:r w:rsidR="0040374D" w:rsidRPr="005834C7">
        <w:rPr>
          <w:rFonts w:ascii="Arial" w:hAnsi="Arial" w:cs="Arial"/>
          <w:sz w:val="24"/>
          <w:szCs w:val="24"/>
        </w:rPr>
        <w:t xml:space="preserve"> guidance) and their connectivity </w:t>
      </w:r>
      <w:r w:rsidR="00741840" w:rsidRPr="005834C7">
        <w:rPr>
          <w:rFonts w:ascii="Arial" w:hAnsi="Arial" w:cs="Arial"/>
          <w:sz w:val="24"/>
          <w:szCs w:val="24"/>
        </w:rPr>
        <w:t>/ inter-dependencies with</w:t>
      </w:r>
      <w:r w:rsidR="0040374D" w:rsidRPr="005834C7">
        <w:rPr>
          <w:rFonts w:ascii="Arial" w:hAnsi="Arial" w:cs="Arial"/>
          <w:sz w:val="24"/>
          <w:szCs w:val="24"/>
        </w:rPr>
        <w:t xml:space="preserve"> the wider Mansfield area</w:t>
      </w:r>
      <w:r w:rsidR="00741840" w:rsidRPr="005834C7">
        <w:rPr>
          <w:rFonts w:ascii="Arial" w:hAnsi="Arial" w:cs="Arial"/>
          <w:sz w:val="24"/>
          <w:szCs w:val="24"/>
        </w:rPr>
        <w:t>.</w:t>
      </w:r>
    </w:p>
    <w:p w14:paraId="5F80C8D1" w14:textId="77777777" w:rsidR="005834C7" w:rsidRPr="005834C7" w:rsidRDefault="005834C7" w:rsidP="005834C7">
      <w:pPr>
        <w:pStyle w:val="ListParagraph"/>
        <w:ind w:left="709"/>
        <w:rPr>
          <w:rFonts w:ascii="Arial" w:hAnsi="Arial" w:cs="Arial"/>
          <w:sz w:val="24"/>
          <w:szCs w:val="24"/>
        </w:rPr>
      </w:pPr>
    </w:p>
    <w:p w14:paraId="70773680" w14:textId="785A85CD" w:rsidR="00741840" w:rsidRPr="005834C7" w:rsidRDefault="00741840" w:rsidP="005834C7">
      <w:pPr>
        <w:pStyle w:val="ListParagraph"/>
        <w:numPr>
          <w:ilvl w:val="0"/>
          <w:numId w:val="5"/>
        </w:numPr>
        <w:ind w:left="709" w:hanging="709"/>
        <w:rPr>
          <w:rFonts w:ascii="Arial" w:hAnsi="Arial" w:cs="Arial"/>
          <w:b/>
          <w:bCs/>
          <w:sz w:val="24"/>
          <w:szCs w:val="24"/>
        </w:rPr>
      </w:pPr>
      <w:r w:rsidRPr="005834C7">
        <w:rPr>
          <w:rFonts w:ascii="Arial" w:hAnsi="Arial" w:cs="Arial"/>
          <w:b/>
          <w:bCs/>
          <w:sz w:val="24"/>
          <w:szCs w:val="24"/>
        </w:rPr>
        <w:t>Recommendation</w:t>
      </w:r>
    </w:p>
    <w:p w14:paraId="26B6F192" w14:textId="180770FB" w:rsidR="00741840" w:rsidRPr="005834C7" w:rsidRDefault="005834C7" w:rsidP="005834C7">
      <w:pPr>
        <w:ind w:left="720" w:hanging="720"/>
        <w:rPr>
          <w:rFonts w:ascii="Arial" w:hAnsi="Arial" w:cs="Arial"/>
          <w:sz w:val="24"/>
          <w:szCs w:val="24"/>
        </w:rPr>
      </w:pPr>
      <w:r>
        <w:rPr>
          <w:rFonts w:ascii="Arial" w:hAnsi="Arial" w:cs="Arial"/>
          <w:sz w:val="24"/>
          <w:szCs w:val="24"/>
        </w:rPr>
        <w:t>5.1</w:t>
      </w:r>
      <w:r>
        <w:rPr>
          <w:rFonts w:ascii="Arial" w:hAnsi="Arial" w:cs="Arial"/>
          <w:sz w:val="24"/>
          <w:szCs w:val="24"/>
        </w:rPr>
        <w:tab/>
      </w:r>
      <w:r w:rsidR="00741840" w:rsidRPr="005834C7">
        <w:rPr>
          <w:rFonts w:ascii="Arial" w:hAnsi="Arial" w:cs="Arial"/>
          <w:sz w:val="24"/>
          <w:szCs w:val="24"/>
        </w:rPr>
        <w:t xml:space="preserve">It is recommended that the Board considers the area boundary for Mansfield’s Plan for Neighbourhoods, </w:t>
      </w:r>
      <w:r w:rsidR="005C0644" w:rsidRPr="005834C7">
        <w:rPr>
          <w:rFonts w:ascii="Arial" w:hAnsi="Arial" w:cs="Arial"/>
          <w:sz w:val="24"/>
          <w:szCs w:val="24"/>
        </w:rPr>
        <w:t xml:space="preserve">and that, subject to consultation with the MP, agrees to make the case for the Warsop communities’ inclusion, alongside the urban area of Mansfield, Forest Town and Mansfield Woodhouse.  </w:t>
      </w:r>
    </w:p>
    <w:sectPr w:rsidR="00741840" w:rsidRPr="005834C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FB07E" w14:textId="77777777" w:rsidR="002A7ECE" w:rsidRDefault="002A7ECE" w:rsidP="002A7ECE">
      <w:pPr>
        <w:spacing w:after="0" w:line="240" w:lineRule="auto"/>
      </w:pPr>
      <w:r>
        <w:separator/>
      </w:r>
    </w:p>
  </w:endnote>
  <w:endnote w:type="continuationSeparator" w:id="0">
    <w:p w14:paraId="39A69A04" w14:textId="77777777" w:rsidR="002A7ECE" w:rsidRDefault="002A7ECE" w:rsidP="002A7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2502714"/>
      <w:docPartObj>
        <w:docPartGallery w:val="Page Numbers (Bottom of Page)"/>
        <w:docPartUnique/>
      </w:docPartObj>
    </w:sdtPr>
    <w:sdtEndPr>
      <w:rPr>
        <w:rFonts w:ascii="Arial" w:hAnsi="Arial" w:cs="Arial"/>
        <w:noProof/>
        <w:sz w:val="24"/>
        <w:szCs w:val="24"/>
      </w:rPr>
    </w:sdtEndPr>
    <w:sdtContent>
      <w:p w14:paraId="1A7E72BF" w14:textId="2CF6D109" w:rsidR="002A7ECE" w:rsidRPr="002A7ECE" w:rsidRDefault="002A7ECE">
        <w:pPr>
          <w:pStyle w:val="Footer"/>
          <w:jc w:val="center"/>
          <w:rPr>
            <w:rFonts w:ascii="Arial" w:hAnsi="Arial" w:cs="Arial"/>
            <w:sz w:val="24"/>
            <w:szCs w:val="24"/>
          </w:rPr>
        </w:pPr>
        <w:r w:rsidRPr="002A7ECE">
          <w:rPr>
            <w:rFonts w:ascii="Arial" w:hAnsi="Arial" w:cs="Arial"/>
            <w:sz w:val="24"/>
            <w:szCs w:val="24"/>
          </w:rPr>
          <w:fldChar w:fldCharType="begin"/>
        </w:r>
        <w:r w:rsidRPr="002A7ECE">
          <w:rPr>
            <w:rFonts w:ascii="Arial" w:hAnsi="Arial" w:cs="Arial"/>
            <w:sz w:val="24"/>
            <w:szCs w:val="24"/>
          </w:rPr>
          <w:instrText xml:space="preserve"> PAGE   \* MERGEFORMAT </w:instrText>
        </w:r>
        <w:r w:rsidRPr="002A7ECE">
          <w:rPr>
            <w:rFonts w:ascii="Arial" w:hAnsi="Arial" w:cs="Arial"/>
            <w:sz w:val="24"/>
            <w:szCs w:val="24"/>
          </w:rPr>
          <w:fldChar w:fldCharType="separate"/>
        </w:r>
        <w:r w:rsidRPr="002A7ECE">
          <w:rPr>
            <w:rFonts w:ascii="Arial" w:hAnsi="Arial" w:cs="Arial"/>
            <w:noProof/>
            <w:sz w:val="24"/>
            <w:szCs w:val="24"/>
          </w:rPr>
          <w:t>2</w:t>
        </w:r>
        <w:r w:rsidRPr="002A7ECE">
          <w:rPr>
            <w:rFonts w:ascii="Arial" w:hAnsi="Arial" w:cs="Arial"/>
            <w:noProof/>
            <w:sz w:val="24"/>
            <w:szCs w:val="24"/>
          </w:rPr>
          <w:fldChar w:fldCharType="end"/>
        </w:r>
      </w:p>
    </w:sdtContent>
  </w:sdt>
  <w:p w14:paraId="0DC64069" w14:textId="77777777" w:rsidR="002A7ECE" w:rsidRDefault="002A7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A2765" w14:textId="77777777" w:rsidR="002A7ECE" w:rsidRDefault="002A7ECE" w:rsidP="002A7ECE">
      <w:pPr>
        <w:spacing w:after="0" w:line="240" w:lineRule="auto"/>
      </w:pPr>
      <w:r>
        <w:separator/>
      </w:r>
    </w:p>
  </w:footnote>
  <w:footnote w:type="continuationSeparator" w:id="0">
    <w:p w14:paraId="5624062D" w14:textId="77777777" w:rsidR="002A7ECE" w:rsidRDefault="002A7ECE" w:rsidP="002A7E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E1D14"/>
    <w:multiLevelType w:val="multilevel"/>
    <w:tmpl w:val="5AEA2EB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D34175"/>
    <w:multiLevelType w:val="hybridMultilevel"/>
    <w:tmpl w:val="B72C99B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01D20D7"/>
    <w:multiLevelType w:val="multilevel"/>
    <w:tmpl w:val="1D6C179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84F0F80"/>
    <w:multiLevelType w:val="hybridMultilevel"/>
    <w:tmpl w:val="A8403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A3592D"/>
    <w:multiLevelType w:val="hybridMultilevel"/>
    <w:tmpl w:val="9B2EB9F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num w:numId="1" w16cid:durableId="1664772500">
    <w:abstractNumId w:val="1"/>
  </w:num>
  <w:num w:numId="2" w16cid:durableId="203298707">
    <w:abstractNumId w:val="3"/>
  </w:num>
  <w:num w:numId="3" w16cid:durableId="96339846">
    <w:abstractNumId w:val="4"/>
  </w:num>
  <w:num w:numId="4" w16cid:durableId="1032341064">
    <w:abstractNumId w:val="2"/>
  </w:num>
  <w:num w:numId="5" w16cid:durableId="1264456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5D5"/>
    <w:rsid w:val="000E34CE"/>
    <w:rsid w:val="002455D5"/>
    <w:rsid w:val="002A7ECE"/>
    <w:rsid w:val="00307039"/>
    <w:rsid w:val="0040374D"/>
    <w:rsid w:val="0047159E"/>
    <w:rsid w:val="004F2EBD"/>
    <w:rsid w:val="005834C7"/>
    <w:rsid w:val="005C0644"/>
    <w:rsid w:val="00654843"/>
    <w:rsid w:val="00741840"/>
    <w:rsid w:val="008B5165"/>
    <w:rsid w:val="008C3BB0"/>
    <w:rsid w:val="00975D50"/>
    <w:rsid w:val="00E40126"/>
    <w:rsid w:val="00FA1D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7FAAA"/>
  <w15:chartTrackingRefBased/>
  <w15:docId w15:val="{FCB66964-F3C9-446A-9FD4-CB6C256EB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5D5"/>
  </w:style>
  <w:style w:type="paragraph" w:styleId="Heading1">
    <w:name w:val="heading 1"/>
    <w:basedOn w:val="Normal"/>
    <w:next w:val="Normal"/>
    <w:link w:val="Heading1Char"/>
    <w:uiPriority w:val="9"/>
    <w:qFormat/>
    <w:rsid w:val="002455D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455D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455D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455D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455D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455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55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55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55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5D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455D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455D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455D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455D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455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55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55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55D5"/>
    <w:rPr>
      <w:rFonts w:eastAsiaTheme="majorEastAsia" w:cstheme="majorBidi"/>
      <w:color w:val="272727" w:themeColor="text1" w:themeTint="D8"/>
    </w:rPr>
  </w:style>
  <w:style w:type="paragraph" w:styleId="Title">
    <w:name w:val="Title"/>
    <w:basedOn w:val="Normal"/>
    <w:next w:val="Normal"/>
    <w:link w:val="TitleChar"/>
    <w:uiPriority w:val="10"/>
    <w:qFormat/>
    <w:rsid w:val="002455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55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55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55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55D5"/>
    <w:pPr>
      <w:spacing w:before="160"/>
      <w:jc w:val="center"/>
    </w:pPr>
    <w:rPr>
      <w:i/>
      <w:iCs/>
      <w:color w:val="404040" w:themeColor="text1" w:themeTint="BF"/>
    </w:rPr>
  </w:style>
  <w:style w:type="character" w:customStyle="1" w:styleId="QuoteChar">
    <w:name w:val="Quote Char"/>
    <w:basedOn w:val="DefaultParagraphFont"/>
    <w:link w:val="Quote"/>
    <w:uiPriority w:val="29"/>
    <w:rsid w:val="002455D5"/>
    <w:rPr>
      <w:i/>
      <w:iCs/>
      <w:color w:val="404040" w:themeColor="text1" w:themeTint="BF"/>
    </w:rPr>
  </w:style>
  <w:style w:type="paragraph" w:styleId="ListParagraph">
    <w:name w:val="List Paragraph"/>
    <w:basedOn w:val="Normal"/>
    <w:uiPriority w:val="34"/>
    <w:qFormat/>
    <w:rsid w:val="002455D5"/>
    <w:pPr>
      <w:ind w:left="720"/>
      <w:contextualSpacing/>
    </w:pPr>
  </w:style>
  <w:style w:type="character" w:styleId="IntenseEmphasis">
    <w:name w:val="Intense Emphasis"/>
    <w:basedOn w:val="DefaultParagraphFont"/>
    <w:uiPriority w:val="21"/>
    <w:qFormat/>
    <w:rsid w:val="002455D5"/>
    <w:rPr>
      <w:i/>
      <w:iCs/>
      <w:color w:val="2E74B5" w:themeColor="accent1" w:themeShade="BF"/>
    </w:rPr>
  </w:style>
  <w:style w:type="paragraph" w:styleId="IntenseQuote">
    <w:name w:val="Intense Quote"/>
    <w:basedOn w:val="Normal"/>
    <w:next w:val="Normal"/>
    <w:link w:val="IntenseQuoteChar"/>
    <w:uiPriority w:val="30"/>
    <w:qFormat/>
    <w:rsid w:val="002455D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455D5"/>
    <w:rPr>
      <w:i/>
      <w:iCs/>
      <w:color w:val="2E74B5" w:themeColor="accent1" w:themeShade="BF"/>
    </w:rPr>
  </w:style>
  <w:style w:type="character" w:styleId="IntenseReference">
    <w:name w:val="Intense Reference"/>
    <w:basedOn w:val="DefaultParagraphFont"/>
    <w:uiPriority w:val="32"/>
    <w:qFormat/>
    <w:rsid w:val="002455D5"/>
    <w:rPr>
      <w:b/>
      <w:bCs/>
      <w:smallCaps/>
      <w:color w:val="2E74B5" w:themeColor="accent1" w:themeShade="BF"/>
      <w:spacing w:val="5"/>
    </w:rPr>
  </w:style>
  <w:style w:type="paragraph" w:styleId="NoSpacing">
    <w:name w:val="No Spacing"/>
    <w:uiPriority w:val="1"/>
    <w:qFormat/>
    <w:rsid w:val="002455D5"/>
    <w:pPr>
      <w:spacing w:after="0" w:line="240" w:lineRule="auto"/>
    </w:pPr>
  </w:style>
  <w:style w:type="table" w:styleId="TableGrid">
    <w:name w:val="Table Grid"/>
    <w:basedOn w:val="TableNormal"/>
    <w:uiPriority w:val="39"/>
    <w:rsid w:val="00245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55D5"/>
    <w:rPr>
      <w:color w:val="0563C1" w:themeColor="hyperlink"/>
      <w:u w:val="single"/>
    </w:rPr>
  </w:style>
  <w:style w:type="paragraph" w:styleId="Header">
    <w:name w:val="header"/>
    <w:basedOn w:val="Normal"/>
    <w:link w:val="HeaderChar"/>
    <w:uiPriority w:val="99"/>
    <w:unhideWhenUsed/>
    <w:rsid w:val="002A7E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7ECE"/>
  </w:style>
  <w:style w:type="paragraph" w:styleId="Footer">
    <w:name w:val="footer"/>
    <w:basedOn w:val="Normal"/>
    <w:link w:val="FooterChar"/>
    <w:uiPriority w:val="99"/>
    <w:unhideWhenUsed/>
    <w:rsid w:val="002A7E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7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george@mansfield.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547</Words>
  <Characters>3122</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MDC</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George</dc:creator>
  <cp:keywords/>
  <dc:description/>
  <cp:lastModifiedBy>James Biddlestone</cp:lastModifiedBy>
  <cp:revision>2</cp:revision>
  <dcterms:created xsi:type="dcterms:W3CDTF">2025-03-31T19:28:00Z</dcterms:created>
  <dcterms:modified xsi:type="dcterms:W3CDTF">2025-03-31T19:28:00Z</dcterms:modified>
</cp:coreProperties>
</file>