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43C83" w14:textId="5C0226E2" w:rsidR="006069CB" w:rsidRPr="00205A54" w:rsidRDefault="006069CB" w:rsidP="00823F43">
      <w:pPr>
        <w:spacing w:after="0"/>
        <w:jc w:val="both"/>
        <w:rPr>
          <w:rFonts w:ascii="Arial" w:hAnsi="Arial" w:cs="Arial"/>
          <w:sz w:val="40"/>
          <w:szCs w:val="40"/>
        </w:rPr>
      </w:pPr>
    </w:p>
    <w:p w14:paraId="1053D108" w14:textId="77777777" w:rsidR="00E93035" w:rsidRPr="00205A54" w:rsidRDefault="00E93035" w:rsidP="00823F43">
      <w:pPr>
        <w:spacing w:after="0"/>
        <w:jc w:val="both"/>
        <w:rPr>
          <w:rFonts w:ascii="Arial" w:hAnsi="Arial" w:cs="Arial"/>
          <w:sz w:val="40"/>
          <w:szCs w:val="40"/>
        </w:rPr>
      </w:pPr>
    </w:p>
    <w:p w14:paraId="20DE2E7C" w14:textId="77777777" w:rsidR="00E93035" w:rsidRPr="00205A54" w:rsidRDefault="00E93035" w:rsidP="00823F43">
      <w:pPr>
        <w:spacing w:after="0"/>
        <w:jc w:val="both"/>
        <w:rPr>
          <w:rFonts w:ascii="Arial" w:hAnsi="Arial" w:cs="Arial"/>
          <w:sz w:val="40"/>
          <w:szCs w:val="40"/>
        </w:rPr>
      </w:pPr>
    </w:p>
    <w:p w14:paraId="4370A286" w14:textId="77777777" w:rsidR="00E93035" w:rsidRPr="00205A54" w:rsidRDefault="00E93035" w:rsidP="00823F43">
      <w:pPr>
        <w:spacing w:after="0"/>
        <w:jc w:val="both"/>
        <w:rPr>
          <w:rFonts w:ascii="Arial" w:hAnsi="Arial" w:cs="Arial"/>
          <w:sz w:val="40"/>
          <w:szCs w:val="40"/>
        </w:rPr>
      </w:pPr>
    </w:p>
    <w:p w14:paraId="5171B3A0" w14:textId="77777777" w:rsidR="00E93035" w:rsidRPr="00205A54" w:rsidRDefault="00E93035" w:rsidP="00823F43">
      <w:pPr>
        <w:spacing w:after="0"/>
        <w:jc w:val="both"/>
        <w:rPr>
          <w:rFonts w:ascii="Arial" w:hAnsi="Arial" w:cs="Arial"/>
          <w:sz w:val="40"/>
          <w:szCs w:val="40"/>
        </w:rPr>
      </w:pPr>
    </w:p>
    <w:p w14:paraId="6316DBF2" w14:textId="464EF15F" w:rsidR="00E93035" w:rsidRPr="00B21893" w:rsidRDefault="00E93035" w:rsidP="00823F43">
      <w:pPr>
        <w:spacing w:after="0"/>
        <w:jc w:val="both"/>
        <w:rPr>
          <w:rFonts w:ascii="Arial" w:hAnsi="Arial" w:cs="Arial"/>
          <w:sz w:val="40"/>
          <w:szCs w:val="40"/>
        </w:rPr>
      </w:pPr>
      <w:r w:rsidRPr="00B21893">
        <w:rPr>
          <w:rFonts w:ascii="Arial" w:hAnsi="Arial" w:cs="Arial"/>
          <w:sz w:val="40"/>
          <w:szCs w:val="40"/>
        </w:rPr>
        <w:t>TENANCY POLICY</w:t>
      </w:r>
    </w:p>
    <w:p w14:paraId="447C6119" w14:textId="7028ACB6" w:rsidR="00E93035" w:rsidRPr="00B21893" w:rsidRDefault="00E93035" w:rsidP="00823F43">
      <w:pPr>
        <w:spacing w:after="0"/>
        <w:jc w:val="both"/>
        <w:rPr>
          <w:rFonts w:ascii="Arial" w:hAnsi="Arial" w:cs="Arial"/>
          <w:sz w:val="40"/>
          <w:szCs w:val="40"/>
        </w:rPr>
      </w:pPr>
      <w:r w:rsidRPr="00B21893">
        <w:rPr>
          <w:rFonts w:ascii="Arial" w:hAnsi="Arial" w:cs="Arial"/>
          <w:sz w:val="40"/>
          <w:szCs w:val="40"/>
        </w:rPr>
        <w:t>(Revised September 2024)</w:t>
      </w:r>
    </w:p>
    <w:p w14:paraId="7A139AA8" w14:textId="77777777" w:rsidR="0083468E" w:rsidRPr="00B21893" w:rsidRDefault="0083468E" w:rsidP="00823F43">
      <w:pPr>
        <w:spacing w:after="0"/>
        <w:jc w:val="both"/>
        <w:rPr>
          <w:rFonts w:ascii="Arial" w:hAnsi="Arial" w:cs="Arial"/>
          <w:sz w:val="40"/>
          <w:szCs w:val="40"/>
        </w:rPr>
      </w:pPr>
    </w:p>
    <w:p w14:paraId="5C2DC1BB" w14:textId="77777777" w:rsidR="0083468E" w:rsidRPr="00B21893" w:rsidRDefault="0083468E" w:rsidP="00823F43">
      <w:pPr>
        <w:spacing w:after="0"/>
        <w:jc w:val="both"/>
        <w:rPr>
          <w:rFonts w:ascii="Arial" w:hAnsi="Arial" w:cs="Arial"/>
          <w:sz w:val="40"/>
          <w:szCs w:val="40"/>
        </w:rPr>
      </w:pPr>
    </w:p>
    <w:p w14:paraId="31B4DC06" w14:textId="77777777" w:rsidR="0083468E" w:rsidRPr="00B21893" w:rsidRDefault="0083468E" w:rsidP="00823F43">
      <w:pPr>
        <w:spacing w:after="0"/>
        <w:jc w:val="both"/>
        <w:rPr>
          <w:rFonts w:ascii="Arial" w:hAnsi="Arial" w:cs="Arial"/>
          <w:sz w:val="40"/>
          <w:szCs w:val="40"/>
        </w:rPr>
      </w:pPr>
    </w:p>
    <w:p w14:paraId="294CC0C2" w14:textId="77777777" w:rsidR="0083468E" w:rsidRPr="00B21893" w:rsidRDefault="0083468E" w:rsidP="00823F43">
      <w:pPr>
        <w:spacing w:after="0"/>
        <w:jc w:val="both"/>
        <w:rPr>
          <w:rFonts w:ascii="Arial" w:hAnsi="Arial" w:cs="Arial"/>
          <w:sz w:val="40"/>
          <w:szCs w:val="40"/>
        </w:rPr>
      </w:pPr>
    </w:p>
    <w:p w14:paraId="0955E87E" w14:textId="77777777" w:rsidR="0083468E" w:rsidRPr="00B21893" w:rsidRDefault="0083468E" w:rsidP="00823F43">
      <w:pPr>
        <w:spacing w:after="0"/>
        <w:jc w:val="both"/>
        <w:rPr>
          <w:rFonts w:ascii="Arial" w:hAnsi="Arial" w:cs="Arial"/>
          <w:sz w:val="40"/>
          <w:szCs w:val="40"/>
        </w:rPr>
      </w:pPr>
    </w:p>
    <w:p w14:paraId="4E412328" w14:textId="77777777" w:rsidR="0083468E" w:rsidRPr="00B21893" w:rsidRDefault="0083468E" w:rsidP="00823F43">
      <w:pPr>
        <w:spacing w:after="0"/>
        <w:jc w:val="both"/>
        <w:rPr>
          <w:rFonts w:ascii="Arial" w:hAnsi="Arial" w:cs="Arial"/>
          <w:sz w:val="40"/>
          <w:szCs w:val="40"/>
        </w:rPr>
      </w:pPr>
    </w:p>
    <w:p w14:paraId="657FD8D5" w14:textId="77777777" w:rsidR="0083468E" w:rsidRPr="00B21893" w:rsidRDefault="0083468E" w:rsidP="00823F43">
      <w:pPr>
        <w:spacing w:after="0"/>
        <w:jc w:val="both"/>
        <w:rPr>
          <w:rFonts w:ascii="Arial" w:hAnsi="Arial" w:cs="Arial"/>
          <w:sz w:val="40"/>
          <w:szCs w:val="40"/>
        </w:rPr>
      </w:pPr>
    </w:p>
    <w:p w14:paraId="5E26FFB8" w14:textId="77777777" w:rsidR="0083468E" w:rsidRPr="00B21893" w:rsidRDefault="0083468E" w:rsidP="00823F43">
      <w:pPr>
        <w:spacing w:after="0"/>
        <w:jc w:val="both"/>
        <w:rPr>
          <w:rFonts w:ascii="Arial" w:hAnsi="Arial" w:cs="Arial"/>
          <w:sz w:val="40"/>
          <w:szCs w:val="40"/>
        </w:rPr>
      </w:pPr>
    </w:p>
    <w:p w14:paraId="70B3FEC3" w14:textId="77777777" w:rsidR="0083468E" w:rsidRPr="00B21893" w:rsidRDefault="0083468E" w:rsidP="00823F43">
      <w:pPr>
        <w:spacing w:after="0"/>
        <w:jc w:val="both"/>
        <w:rPr>
          <w:rFonts w:ascii="Arial" w:hAnsi="Arial" w:cs="Arial"/>
          <w:sz w:val="40"/>
          <w:szCs w:val="40"/>
        </w:rPr>
      </w:pPr>
    </w:p>
    <w:p w14:paraId="1C5B0149" w14:textId="77777777" w:rsidR="0083468E" w:rsidRPr="00B21893" w:rsidRDefault="0083468E" w:rsidP="00823F43">
      <w:pPr>
        <w:spacing w:after="0"/>
        <w:jc w:val="both"/>
        <w:rPr>
          <w:rFonts w:ascii="Arial" w:hAnsi="Arial" w:cs="Arial"/>
          <w:sz w:val="40"/>
          <w:szCs w:val="40"/>
        </w:rPr>
      </w:pPr>
    </w:p>
    <w:p w14:paraId="28375C48" w14:textId="77777777" w:rsidR="0083468E" w:rsidRPr="00B21893" w:rsidRDefault="0083468E" w:rsidP="00823F43">
      <w:pPr>
        <w:spacing w:after="0"/>
        <w:jc w:val="both"/>
        <w:rPr>
          <w:rFonts w:ascii="Arial" w:hAnsi="Arial" w:cs="Arial"/>
          <w:sz w:val="40"/>
          <w:szCs w:val="40"/>
        </w:rPr>
      </w:pPr>
    </w:p>
    <w:p w14:paraId="0B5B9B71" w14:textId="77777777" w:rsidR="0083468E" w:rsidRPr="00B21893" w:rsidRDefault="0083468E" w:rsidP="00823F43">
      <w:pPr>
        <w:spacing w:after="0"/>
        <w:jc w:val="both"/>
        <w:rPr>
          <w:rFonts w:ascii="Arial" w:hAnsi="Arial" w:cs="Arial"/>
          <w:sz w:val="40"/>
          <w:szCs w:val="40"/>
        </w:rPr>
      </w:pPr>
    </w:p>
    <w:p w14:paraId="0CDC5341" w14:textId="77777777" w:rsidR="0083468E" w:rsidRPr="00B21893" w:rsidRDefault="0083468E" w:rsidP="00823F43">
      <w:pPr>
        <w:spacing w:after="0"/>
        <w:jc w:val="both"/>
        <w:rPr>
          <w:rFonts w:ascii="Arial" w:hAnsi="Arial" w:cs="Arial"/>
          <w:sz w:val="40"/>
          <w:szCs w:val="40"/>
        </w:rPr>
      </w:pPr>
    </w:p>
    <w:p w14:paraId="740E155F" w14:textId="77777777" w:rsidR="0083468E" w:rsidRPr="00B21893" w:rsidRDefault="0083468E" w:rsidP="00823F43">
      <w:pPr>
        <w:spacing w:after="0"/>
        <w:jc w:val="both"/>
        <w:rPr>
          <w:rFonts w:ascii="Arial" w:hAnsi="Arial" w:cs="Arial"/>
          <w:sz w:val="40"/>
          <w:szCs w:val="40"/>
        </w:rPr>
      </w:pPr>
    </w:p>
    <w:p w14:paraId="2EC98420" w14:textId="77777777" w:rsidR="0083468E" w:rsidRPr="00B21893" w:rsidRDefault="0083468E" w:rsidP="00823F43">
      <w:pPr>
        <w:spacing w:after="0"/>
        <w:jc w:val="both"/>
        <w:rPr>
          <w:rFonts w:ascii="Arial" w:hAnsi="Arial" w:cs="Arial"/>
          <w:sz w:val="40"/>
          <w:szCs w:val="40"/>
        </w:rPr>
      </w:pPr>
    </w:p>
    <w:p w14:paraId="0B5976EF" w14:textId="0FED562C" w:rsidR="00205A54" w:rsidRPr="00B21893" w:rsidRDefault="00205A54">
      <w:pPr>
        <w:rPr>
          <w:rFonts w:ascii="Arial" w:hAnsi="Arial" w:cs="Arial"/>
          <w:sz w:val="40"/>
          <w:szCs w:val="40"/>
        </w:rPr>
      </w:pPr>
      <w:r w:rsidRPr="00B21893">
        <w:rPr>
          <w:rFonts w:ascii="Arial" w:hAnsi="Arial" w:cs="Arial"/>
          <w:sz w:val="40"/>
          <w:szCs w:val="40"/>
        </w:rPr>
        <w:br w:type="page"/>
      </w:r>
    </w:p>
    <w:p w14:paraId="1F0F7FF2" w14:textId="77777777" w:rsidR="0083468E" w:rsidRPr="00B21893" w:rsidRDefault="0083468E" w:rsidP="00823F43">
      <w:pPr>
        <w:spacing w:after="0"/>
        <w:jc w:val="both"/>
        <w:rPr>
          <w:rFonts w:ascii="Arial" w:hAnsi="Arial" w:cs="Arial"/>
          <w:sz w:val="40"/>
          <w:szCs w:val="40"/>
        </w:rPr>
      </w:pPr>
    </w:p>
    <w:tbl>
      <w:tblPr>
        <w:tblStyle w:val="TableGrid"/>
        <w:tblW w:w="0" w:type="auto"/>
        <w:tblLook w:val="04A0" w:firstRow="1" w:lastRow="0" w:firstColumn="1" w:lastColumn="0" w:noHBand="0" w:noVBand="1"/>
      </w:tblPr>
      <w:tblGrid>
        <w:gridCol w:w="2182"/>
        <w:gridCol w:w="1063"/>
        <w:gridCol w:w="2397"/>
        <w:gridCol w:w="2829"/>
      </w:tblGrid>
      <w:tr w:rsidR="00027FFC" w:rsidRPr="00B21893" w14:paraId="20AACC5E" w14:textId="77777777" w:rsidTr="009F2827">
        <w:tc>
          <w:tcPr>
            <w:tcW w:w="9016" w:type="dxa"/>
            <w:gridSpan w:val="4"/>
          </w:tcPr>
          <w:p w14:paraId="607FC4B9" w14:textId="77777777" w:rsidR="00027FFC" w:rsidRPr="00B21893" w:rsidRDefault="00027FFC" w:rsidP="00823F43">
            <w:pPr>
              <w:spacing w:line="276" w:lineRule="auto"/>
              <w:jc w:val="both"/>
              <w:rPr>
                <w:rFonts w:ascii="Arial" w:hAnsi="Arial" w:cs="Arial"/>
                <w:b/>
                <w:sz w:val="24"/>
                <w:szCs w:val="24"/>
              </w:rPr>
            </w:pPr>
            <w:r w:rsidRPr="00B21893">
              <w:rPr>
                <w:rFonts w:ascii="Arial" w:hAnsi="Arial" w:cs="Arial"/>
                <w:b/>
                <w:sz w:val="24"/>
                <w:szCs w:val="24"/>
              </w:rPr>
              <w:t>CURRENT DOCUMENT STATUS</w:t>
            </w:r>
          </w:p>
        </w:tc>
      </w:tr>
      <w:tr w:rsidR="00027FFC" w:rsidRPr="00B21893" w14:paraId="7027999E" w14:textId="77777777" w:rsidTr="009F2827">
        <w:tc>
          <w:tcPr>
            <w:tcW w:w="2328" w:type="dxa"/>
          </w:tcPr>
          <w:p w14:paraId="536EFFD9"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Version</w:t>
            </w:r>
          </w:p>
        </w:tc>
        <w:tc>
          <w:tcPr>
            <w:tcW w:w="1069" w:type="dxa"/>
          </w:tcPr>
          <w:p w14:paraId="645A0F88" w14:textId="6D5C81A6" w:rsidR="00027FFC" w:rsidRPr="00B21893" w:rsidRDefault="005A374B" w:rsidP="00823F43">
            <w:pPr>
              <w:spacing w:line="276" w:lineRule="auto"/>
              <w:jc w:val="both"/>
              <w:rPr>
                <w:rFonts w:ascii="Arial" w:hAnsi="Arial" w:cs="Arial"/>
                <w:sz w:val="24"/>
                <w:szCs w:val="24"/>
              </w:rPr>
            </w:pPr>
            <w:r w:rsidRPr="00B21893">
              <w:rPr>
                <w:rFonts w:ascii="Arial" w:hAnsi="Arial" w:cs="Arial"/>
                <w:sz w:val="24"/>
                <w:szCs w:val="24"/>
              </w:rPr>
              <w:t>V2</w:t>
            </w:r>
          </w:p>
        </w:tc>
        <w:tc>
          <w:tcPr>
            <w:tcW w:w="2552" w:type="dxa"/>
          </w:tcPr>
          <w:p w14:paraId="6E12BD3A"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Approving Body</w:t>
            </w:r>
          </w:p>
        </w:tc>
        <w:tc>
          <w:tcPr>
            <w:tcW w:w="3067" w:type="dxa"/>
          </w:tcPr>
          <w:p w14:paraId="5FF25EB1" w14:textId="5C3CD014" w:rsidR="00027FFC" w:rsidRPr="00B21893" w:rsidRDefault="004D3D91" w:rsidP="00823F43">
            <w:pPr>
              <w:spacing w:line="276" w:lineRule="auto"/>
              <w:jc w:val="both"/>
              <w:rPr>
                <w:rFonts w:ascii="Arial" w:hAnsi="Arial" w:cs="Arial"/>
                <w:sz w:val="24"/>
                <w:szCs w:val="24"/>
              </w:rPr>
            </w:pPr>
            <w:r>
              <w:rPr>
                <w:rFonts w:ascii="Arial" w:hAnsi="Arial" w:cs="Arial"/>
                <w:sz w:val="24"/>
                <w:szCs w:val="24"/>
              </w:rPr>
              <w:t>Assistant Director of Housing</w:t>
            </w:r>
          </w:p>
        </w:tc>
      </w:tr>
      <w:tr w:rsidR="00027FFC" w:rsidRPr="00B21893" w14:paraId="1762286B" w14:textId="77777777" w:rsidTr="009F2827">
        <w:tc>
          <w:tcPr>
            <w:tcW w:w="2328" w:type="dxa"/>
          </w:tcPr>
          <w:p w14:paraId="3A3D4320"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Date</w:t>
            </w:r>
          </w:p>
        </w:tc>
        <w:tc>
          <w:tcPr>
            <w:tcW w:w="1069" w:type="dxa"/>
          </w:tcPr>
          <w:p w14:paraId="5B44FEDC" w14:textId="77777777" w:rsidR="00027FFC" w:rsidRPr="00B21893" w:rsidRDefault="00027FFC" w:rsidP="00823F43">
            <w:pPr>
              <w:spacing w:line="276" w:lineRule="auto"/>
              <w:jc w:val="both"/>
              <w:rPr>
                <w:rFonts w:ascii="Arial" w:hAnsi="Arial" w:cs="Arial"/>
                <w:sz w:val="24"/>
                <w:szCs w:val="24"/>
              </w:rPr>
            </w:pPr>
          </w:p>
        </w:tc>
        <w:tc>
          <w:tcPr>
            <w:tcW w:w="2552" w:type="dxa"/>
          </w:tcPr>
          <w:p w14:paraId="00F22EC5"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Date of formal approval</w:t>
            </w:r>
          </w:p>
        </w:tc>
        <w:tc>
          <w:tcPr>
            <w:tcW w:w="3067" w:type="dxa"/>
          </w:tcPr>
          <w:p w14:paraId="65F8DDCF" w14:textId="3F75FA7E" w:rsidR="00027FFC" w:rsidRPr="00B21893" w:rsidRDefault="004D3D91" w:rsidP="00823F43">
            <w:pPr>
              <w:spacing w:line="276" w:lineRule="auto"/>
              <w:jc w:val="both"/>
              <w:rPr>
                <w:rFonts w:ascii="Arial" w:hAnsi="Arial" w:cs="Arial"/>
                <w:sz w:val="24"/>
                <w:szCs w:val="24"/>
              </w:rPr>
            </w:pPr>
            <w:r>
              <w:rPr>
                <w:rFonts w:ascii="Arial" w:hAnsi="Arial" w:cs="Arial"/>
                <w:sz w:val="24"/>
                <w:szCs w:val="24"/>
              </w:rPr>
              <w:t>November 2024</w:t>
            </w:r>
          </w:p>
        </w:tc>
      </w:tr>
      <w:tr w:rsidR="00027FFC" w:rsidRPr="00B21893" w14:paraId="6B30AE14" w14:textId="77777777" w:rsidTr="009F2827">
        <w:tc>
          <w:tcPr>
            <w:tcW w:w="2328" w:type="dxa"/>
          </w:tcPr>
          <w:p w14:paraId="2BB54420"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Author</w:t>
            </w:r>
          </w:p>
        </w:tc>
        <w:tc>
          <w:tcPr>
            <w:tcW w:w="6688" w:type="dxa"/>
            <w:gridSpan w:val="3"/>
          </w:tcPr>
          <w:p w14:paraId="64033C64" w14:textId="5B516C78" w:rsidR="00027FFC" w:rsidRPr="00B21893" w:rsidRDefault="00323D45" w:rsidP="00823F43">
            <w:pPr>
              <w:spacing w:line="276" w:lineRule="auto"/>
              <w:jc w:val="both"/>
              <w:rPr>
                <w:rFonts w:ascii="Arial" w:hAnsi="Arial" w:cs="Arial"/>
                <w:sz w:val="24"/>
                <w:szCs w:val="24"/>
              </w:rPr>
            </w:pPr>
            <w:r>
              <w:rPr>
                <w:rFonts w:ascii="Arial" w:hAnsi="Arial" w:cs="Arial"/>
                <w:sz w:val="24"/>
                <w:szCs w:val="24"/>
              </w:rPr>
              <w:t>Performance and Insight Manager</w:t>
            </w:r>
          </w:p>
        </w:tc>
      </w:tr>
      <w:tr w:rsidR="00027FFC" w:rsidRPr="00B21893" w14:paraId="26ABAE8D" w14:textId="77777777" w:rsidTr="009F2827">
        <w:tc>
          <w:tcPr>
            <w:tcW w:w="2328" w:type="dxa"/>
          </w:tcPr>
          <w:p w14:paraId="459328BB"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Location</w:t>
            </w:r>
          </w:p>
        </w:tc>
        <w:tc>
          <w:tcPr>
            <w:tcW w:w="6688" w:type="dxa"/>
            <w:gridSpan w:val="3"/>
          </w:tcPr>
          <w:p w14:paraId="398E6454" w14:textId="77777777" w:rsidR="00027FFC" w:rsidRPr="00B21893" w:rsidRDefault="00027FFC" w:rsidP="00823F43">
            <w:pPr>
              <w:spacing w:line="276" w:lineRule="auto"/>
              <w:jc w:val="both"/>
              <w:rPr>
                <w:rFonts w:ascii="Arial" w:hAnsi="Arial" w:cs="Arial"/>
                <w:sz w:val="24"/>
                <w:szCs w:val="24"/>
              </w:rPr>
            </w:pPr>
          </w:p>
        </w:tc>
      </w:tr>
      <w:tr w:rsidR="00027FFC" w:rsidRPr="00B21893" w14:paraId="2430FE60" w14:textId="77777777" w:rsidTr="009F2827">
        <w:tc>
          <w:tcPr>
            <w:tcW w:w="2328" w:type="dxa"/>
          </w:tcPr>
          <w:p w14:paraId="23542E5E"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Date of next review</w:t>
            </w:r>
          </w:p>
        </w:tc>
        <w:tc>
          <w:tcPr>
            <w:tcW w:w="6688" w:type="dxa"/>
            <w:gridSpan w:val="3"/>
          </w:tcPr>
          <w:p w14:paraId="6F838923" w14:textId="2130CA60" w:rsidR="00027FFC" w:rsidRPr="00B21893" w:rsidRDefault="00323D45" w:rsidP="00823F43">
            <w:pPr>
              <w:spacing w:line="276" w:lineRule="auto"/>
              <w:jc w:val="both"/>
              <w:rPr>
                <w:rFonts w:ascii="Arial" w:hAnsi="Arial" w:cs="Arial"/>
                <w:sz w:val="24"/>
                <w:szCs w:val="24"/>
              </w:rPr>
            </w:pPr>
            <w:r>
              <w:rPr>
                <w:rFonts w:ascii="Arial" w:hAnsi="Arial" w:cs="Arial"/>
                <w:sz w:val="24"/>
                <w:szCs w:val="24"/>
              </w:rPr>
              <w:t>November 2025</w:t>
            </w:r>
          </w:p>
        </w:tc>
      </w:tr>
      <w:tr w:rsidR="00027FFC" w:rsidRPr="00B21893" w14:paraId="1332635A" w14:textId="77777777" w:rsidTr="009F2827">
        <w:tc>
          <w:tcPr>
            <w:tcW w:w="9016" w:type="dxa"/>
            <w:gridSpan w:val="4"/>
          </w:tcPr>
          <w:p w14:paraId="069B69B1" w14:textId="77777777" w:rsidR="00027FFC" w:rsidRPr="00B21893" w:rsidRDefault="00027FFC" w:rsidP="00823F43">
            <w:pPr>
              <w:spacing w:line="276" w:lineRule="auto"/>
              <w:jc w:val="both"/>
              <w:rPr>
                <w:rFonts w:ascii="Arial" w:hAnsi="Arial" w:cs="Arial"/>
                <w:b/>
                <w:sz w:val="24"/>
                <w:szCs w:val="24"/>
              </w:rPr>
            </w:pPr>
            <w:r w:rsidRPr="00B21893">
              <w:rPr>
                <w:rFonts w:ascii="Arial" w:hAnsi="Arial" w:cs="Arial"/>
                <w:b/>
                <w:sz w:val="24"/>
                <w:szCs w:val="24"/>
              </w:rPr>
              <w:t>VERSION HISTORY</w:t>
            </w:r>
          </w:p>
        </w:tc>
      </w:tr>
      <w:tr w:rsidR="00027FFC" w:rsidRPr="00B21893" w14:paraId="533AA866" w14:textId="77777777" w:rsidTr="009F2827">
        <w:tc>
          <w:tcPr>
            <w:tcW w:w="2328" w:type="dxa"/>
          </w:tcPr>
          <w:p w14:paraId="0F1A2214"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Date</w:t>
            </w:r>
          </w:p>
        </w:tc>
        <w:tc>
          <w:tcPr>
            <w:tcW w:w="1069" w:type="dxa"/>
          </w:tcPr>
          <w:p w14:paraId="789A1D72"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Version</w:t>
            </w:r>
          </w:p>
        </w:tc>
        <w:tc>
          <w:tcPr>
            <w:tcW w:w="2552" w:type="dxa"/>
          </w:tcPr>
          <w:p w14:paraId="4B68A9DB"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Author / Editor</w:t>
            </w:r>
          </w:p>
        </w:tc>
        <w:tc>
          <w:tcPr>
            <w:tcW w:w="3067" w:type="dxa"/>
          </w:tcPr>
          <w:p w14:paraId="094911C0"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Comment</w:t>
            </w:r>
          </w:p>
        </w:tc>
      </w:tr>
      <w:tr w:rsidR="00027FFC" w:rsidRPr="00B21893" w14:paraId="65BC04FC" w14:textId="77777777" w:rsidTr="009F2827">
        <w:tc>
          <w:tcPr>
            <w:tcW w:w="2328" w:type="dxa"/>
          </w:tcPr>
          <w:p w14:paraId="0C5B2CFF" w14:textId="29F4844F" w:rsidR="00027FFC" w:rsidRPr="00B21893" w:rsidRDefault="005A374B" w:rsidP="00823F43">
            <w:pPr>
              <w:spacing w:line="276" w:lineRule="auto"/>
              <w:jc w:val="both"/>
              <w:rPr>
                <w:rFonts w:ascii="Arial" w:hAnsi="Arial" w:cs="Arial"/>
                <w:sz w:val="24"/>
                <w:szCs w:val="24"/>
              </w:rPr>
            </w:pPr>
            <w:r w:rsidRPr="00B21893">
              <w:rPr>
                <w:rFonts w:ascii="Arial" w:hAnsi="Arial" w:cs="Arial"/>
                <w:sz w:val="24"/>
                <w:szCs w:val="24"/>
              </w:rPr>
              <w:t>10/09/2024</w:t>
            </w:r>
          </w:p>
        </w:tc>
        <w:tc>
          <w:tcPr>
            <w:tcW w:w="1069" w:type="dxa"/>
          </w:tcPr>
          <w:p w14:paraId="20D9E13F" w14:textId="0EDCFCFD" w:rsidR="00027FFC" w:rsidRPr="00B21893" w:rsidRDefault="005A374B" w:rsidP="00823F43">
            <w:pPr>
              <w:spacing w:line="276" w:lineRule="auto"/>
              <w:jc w:val="both"/>
              <w:rPr>
                <w:rFonts w:ascii="Arial" w:hAnsi="Arial" w:cs="Arial"/>
                <w:sz w:val="24"/>
                <w:szCs w:val="24"/>
              </w:rPr>
            </w:pPr>
            <w:r w:rsidRPr="00B21893">
              <w:rPr>
                <w:rFonts w:ascii="Arial" w:hAnsi="Arial" w:cs="Arial"/>
                <w:sz w:val="24"/>
                <w:szCs w:val="24"/>
              </w:rPr>
              <w:t>V2</w:t>
            </w:r>
          </w:p>
        </w:tc>
        <w:tc>
          <w:tcPr>
            <w:tcW w:w="2552" w:type="dxa"/>
          </w:tcPr>
          <w:p w14:paraId="61A2E09D" w14:textId="5443D23F" w:rsidR="00027FFC" w:rsidRPr="00B21893" w:rsidRDefault="00323D45" w:rsidP="00823F43">
            <w:pPr>
              <w:spacing w:line="276" w:lineRule="auto"/>
              <w:jc w:val="both"/>
              <w:rPr>
                <w:rFonts w:ascii="Arial" w:hAnsi="Arial" w:cs="Arial"/>
                <w:sz w:val="24"/>
                <w:szCs w:val="24"/>
              </w:rPr>
            </w:pPr>
            <w:r>
              <w:rPr>
                <w:rFonts w:ascii="Arial" w:hAnsi="Arial" w:cs="Arial"/>
                <w:sz w:val="24"/>
                <w:szCs w:val="24"/>
              </w:rPr>
              <w:t>Performance and Insight Manager</w:t>
            </w:r>
          </w:p>
        </w:tc>
        <w:tc>
          <w:tcPr>
            <w:tcW w:w="3067" w:type="dxa"/>
          </w:tcPr>
          <w:p w14:paraId="408FBFC0" w14:textId="774CDEF7" w:rsidR="00027FFC" w:rsidRPr="00B21893" w:rsidRDefault="00323D45" w:rsidP="00823F43">
            <w:pPr>
              <w:spacing w:line="276" w:lineRule="auto"/>
              <w:jc w:val="both"/>
              <w:rPr>
                <w:rFonts w:ascii="Arial" w:hAnsi="Arial" w:cs="Arial"/>
                <w:sz w:val="24"/>
                <w:szCs w:val="24"/>
              </w:rPr>
            </w:pPr>
            <w:r>
              <w:rPr>
                <w:rFonts w:ascii="Arial" w:hAnsi="Arial" w:cs="Arial"/>
                <w:sz w:val="24"/>
                <w:szCs w:val="24"/>
              </w:rPr>
              <w:t>Amended following consultation with External legal team</w:t>
            </w:r>
          </w:p>
        </w:tc>
      </w:tr>
      <w:tr w:rsidR="00027FFC" w:rsidRPr="00B21893" w14:paraId="330205B2" w14:textId="77777777" w:rsidTr="009F2827">
        <w:tc>
          <w:tcPr>
            <w:tcW w:w="2328" w:type="dxa"/>
          </w:tcPr>
          <w:p w14:paraId="79182863" w14:textId="47960E98" w:rsidR="00027FFC" w:rsidRPr="00B21893" w:rsidRDefault="00027FFC" w:rsidP="00823F43">
            <w:pPr>
              <w:spacing w:line="276" w:lineRule="auto"/>
              <w:jc w:val="both"/>
              <w:rPr>
                <w:rFonts w:ascii="Arial" w:hAnsi="Arial" w:cs="Arial"/>
                <w:sz w:val="24"/>
                <w:szCs w:val="24"/>
              </w:rPr>
            </w:pPr>
          </w:p>
        </w:tc>
        <w:tc>
          <w:tcPr>
            <w:tcW w:w="1069" w:type="dxa"/>
          </w:tcPr>
          <w:p w14:paraId="2ED24CEF" w14:textId="7193A10B" w:rsidR="00027FFC" w:rsidRPr="00B21893" w:rsidRDefault="00027FFC" w:rsidP="00823F43">
            <w:pPr>
              <w:spacing w:line="276" w:lineRule="auto"/>
              <w:jc w:val="both"/>
              <w:rPr>
                <w:rFonts w:ascii="Arial" w:hAnsi="Arial" w:cs="Arial"/>
                <w:sz w:val="24"/>
                <w:szCs w:val="24"/>
              </w:rPr>
            </w:pPr>
          </w:p>
        </w:tc>
        <w:tc>
          <w:tcPr>
            <w:tcW w:w="2552" w:type="dxa"/>
          </w:tcPr>
          <w:p w14:paraId="54DE471D" w14:textId="20582BC3" w:rsidR="00027FFC" w:rsidRPr="00B21893" w:rsidRDefault="00027FFC" w:rsidP="00823F43">
            <w:pPr>
              <w:spacing w:line="276" w:lineRule="auto"/>
              <w:jc w:val="both"/>
              <w:rPr>
                <w:rFonts w:ascii="Arial" w:hAnsi="Arial" w:cs="Arial"/>
                <w:sz w:val="24"/>
                <w:szCs w:val="24"/>
              </w:rPr>
            </w:pPr>
          </w:p>
        </w:tc>
        <w:tc>
          <w:tcPr>
            <w:tcW w:w="3067" w:type="dxa"/>
          </w:tcPr>
          <w:p w14:paraId="6E5AF8A7" w14:textId="728CD870" w:rsidR="00027FFC" w:rsidRPr="00B21893" w:rsidRDefault="00027FFC" w:rsidP="00823F43">
            <w:pPr>
              <w:spacing w:line="276" w:lineRule="auto"/>
              <w:jc w:val="both"/>
              <w:rPr>
                <w:rFonts w:ascii="Arial" w:hAnsi="Arial" w:cs="Arial"/>
                <w:sz w:val="24"/>
                <w:szCs w:val="24"/>
              </w:rPr>
            </w:pPr>
          </w:p>
        </w:tc>
      </w:tr>
      <w:tr w:rsidR="00027FFC" w:rsidRPr="00B21893" w14:paraId="1C862831" w14:textId="77777777" w:rsidTr="009F2827">
        <w:tc>
          <w:tcPr>
            <w:tcW w:w="2328" w:type="dxa"/>
          </w:tcPr>
          <w:p w14:paraId="6FA14E36" w14:textId="232935DD" w:rsidR="00027FFC" w:rsidRPr="00B21893" w:rsidRDefault="00027FFC" w:rsidP="00823F43">
            <w:pPr>
              <w:spacing w:line="276" w:lineRule="auto"/>
              <w:jc w:val="both"/>
              <w:rPr>
                <w:rFonts w:ascii="Arial" w:hAnsi="Arial" w:cs="Arial"/>
                <w:sz w:val="24"/>
                <w:szCs w:val="24"/>
              </w:rPr>
            </w:pPr>
          </w:p>
        </w:tc>
        <w:tc>
          <w:tcPr>
            <w:tcW w:w="1069" w:type="dxa"/>
          </w:tcPr>
          <w:p w14:paraId="1A425193" w14:textId="63AA9BD5" w:rsidR="00027FFC" w:rsidRPr="00B21893" w:rsidRDefault="00027FFC" w:rsidP="00823F43">
            <w:pPr>
              <w:spacing w:line="276" w:lineRule="auto"/>
              <w:jc w:val="both"/>
              <w:rPr>
                <w:rFonts w:ascii="Arial" w:hAnsi="Arial" w:cs="Arial"/>
                <w:sz w:val="24"/>
                <w:szCs w:val="24"/>
              </w:rPr>
            </w:pPr>
          </w:p>
        </w:tc>
        <w:tc>
          <w:tcPr>
            <w:tcW w:w="2552" w:type="dxa"/>
          </w:tcPr>
          <w:p w14:paraId="7D4033DD" w14:textId="2F1C16FC" w:rsidR="00027FFC" w:rsidRPr="00B21893" w:rsidRDefault="00027FFC" w:rsidP="00823F43">
            <w:pPr>
              <w:spacing w:line="276" w:lineRule="auto"/>
              <w:jc w:val="both"/>
              <w:rPr>
                <w:rFonts w:ascii="Arial" w:hAnsi="Arial" w:cs="Arial"/>
                <w:sz w:val="24"/>
                <w:szCs w:val="24"/>
              </w:rPr>
            </w:pPr>
          </w:p>
        </w:tc>
        <w:tc>
          <w:tcPr>
            <w:tcW w:w="3067" w:type="dxa"/>
          </w:tcPr>
          <w:p w14:paraId="23129FB8" w14:textId="62BAB0C3" w:rsidR="00027FFC" w:rsidRPr="00B21893" w:rsidRDefault="00027FFC" w:rsidP="00823F43">
            <w:pPr>
              <w:spacing w:line="276" w:lineRule="auto"/>
              <w:jc w:val="both"/>
              <w:rPr>
                <w:rFonts w:ascii="Arial" w:hAnsi="Arial" w:cs="Arial"/>
                <w:sz w:val="24"/>
                <w:szCs w:val="24"/>
              </w:rPr>
            </w:pPr>
          </w:p>
        </w:tc>
      </w:tr>
      <w:tr w:rsidR="00027FFC" w:rsidRPr="00B21893" w14:paraId="3773D336" w14:textId="77777777" w:rsidTr="009F2827">
        <w:tc>
          <w:tcPr>
            <w:tcW w:w="9016" w:type="dxa"/>
            <w:gridSpan w:val="4"/>
          </w:tcPr>
          <w:p w14:paraId="61C0AB2D" w14:textId="77777777" w:rsidR="00027FFC" w:rsidRPr="00B21893" w:rsidRDefault="00027FFC" w:rsidP="00823F43">
            <w:pPr>
              <w:spacing w:line="276" w:lineRule="auto"/>
              <w:jc w:val="both"/>
              <w:rPr>
                <w:rFonts w:ascii="Arial" w:hAnsi="Arial" w:cs="Arial"/>
                <w:b/>
                <w:sz w:val="24"/>
                <w:szCs w:val="24"/>
              </w:rPr>
            </w:pPr>
            <w:r w:rsidRPr="00B21893">
              <w:rPr>
                <w:rFonts w:ascii="Arial" w:hAnsi="Arial" w:cs="Arial"/>
                <w:b/>
                <w:sz w:val="24"/>
                <w:szCs w:val="24"/>
              </w:rPr>
              <w:t>EQUALITY IMPACT ASSESSMENT RECORD</w:t>
            </w:r>
          </w:p>
        </w:tc>
      </w:tr>
      <w:tr w:rsidR="00027FFC" w:rsidRPr="00B21893" w14:paraId="217EB0C3" w14:textId="77777777" w:rsidTr="009F2827">
        <w:tc>
          <w:tcPr>
            <w:tcW w:w="2328" w:type="dxa"/>
          </w:tcPr>
          <w:p w14:paraId="717A8DBD"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Date</w:t>
            </w:r>
          </w:p>
        </w:tc>
        <w:tc>
          <w:tcPr>
            <w:tcW w:w="3621" w:type="dxa"/>
            <w:gridSpan w:val="2"/>
          </w:tcPr>
          <w:p w14:paraId="059C84AC"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Type of assessment completed</w:t>
            </w:r>
          </w:p>
        </w:tc>
        <w:tc>
          <w:tcPr>
            <w:tcW w:w="3067" w:type="dxa"/>
          </w:tcPr>
          <w:p w14:paraId="609A7B72"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Completed by:</w:t>
            </w:r>
          </w:p>
        </w:tc>
      </w:tr>
      <w:tr w:rsidR="00027FFC" w:rsidRPr="00B21893" w14:paraId="502F74E8" w14:textId="77777777" w:rsidTr="009F2827">
        <w:tc>
          <w:tcPr>
            <w:tcW w:w="2328" w:type="dxa"/>
          </w:tcPr>
          <w:p w14:paraId="144FF558" w14:textId="74A933D5" w:rsidR="00027FFC" w:rsidRPr="00B21893" w:rsidRDefault="00C714F7" w:rsidP="00823F43">
            <w:pPr>
              <w:spacing w:line="276" w:lineRule="auto"/>
              <w:jc w:val="both"/>
              <w:rPr>
                <w:rFonts w:ascii="Arial" w:hAnsi="Arial" w:cs="Arial"/>
                <w:sz w:val="24"/>
                <w:szCs w:val="24"/>
              </w:rPr>
            </w:pPr>
            <w:r>
              <w:rPr>
                <w:rFonts w:ascii="Arial" w:hAnsi="Arial" w:cs="Arial"/>
                <w:sz w:val="24"/>
                <w:szCs w:val="24"/>
              </w:rPr>
              <w:t>31/10/2024</w:t>
            </w:r>
          </w:p>
        </w:tc>
        <w:tc>
          <w:tcPr>
            <w:tcW w:w="3621" w:type="dxa"/>
            <w:gridSpan w:val="2"/>
          </w:tcPr>
          <w:p w14:paraId="5A83F5E7" w14:textId="77777777" w:rsidR="00027FFC" w:rsidRPr="00B21893" w:rsidRDefault="00027FFC" w:rsidP="00823F43">
            <w:pPr>
              <w:spacing w:line="276" w:lineRule="auto"/>
              <w:jc w:val="both"/>
              <w:rPr>
                <w:rFonts w:ascii="Arial" w:hAnsi="Arial" w:cs="Arial"/>
                <w:sz w:val="24"/>
                <w:szCs w:val="24"/>
              </w:rPr>
            </w:pPr>
            <w:r w:rsidRPr="00B21893">
              <w:rPr>
                <w:rFonts w:ascii="Arial" w:hAnsi="Arial" w:cs="Arial"/>
                <w:sz w:val="24"/>
                <w:szCs w:val="24"/>
              </w:rPr>
              <w:t xml:space="preserve">Initial </w:t>
            </w:r>
          </w:p>
        </w:tc>
        <w:tc>
          <w:tcPr>
            <w:tcW w:w="3067" w:type="dxa"/>
          </w:tcPr>
          <w:p w14:paraId="137D7CF5" w14:textId="2DC724C3" w:rsidR="00027FFC" w:rsidRPr="00B21893" w:rsidRDefault="00323D45" w:rsidP="00823F43">
            <w:pPr>
              <w:spacing w:line="276" w:lineRule="auto"/>
              <w:jc w:val="both"/>
              <w:rPr>
                <w:rFonts w:ascii="Arial" w:hAnsi="Arial" w:cs="Arial"/>
                <w:sz w:val="24"/>
                <w:szCs w:val="24"/>
              </w:rPr>
            </w:pPr>
            <w:r>
              <w:rPr>
                <w:rFonts w:ascii="Arial" w:hAnsi="Arial" w:cs="Arial"/>
                <w:sz w:val="24"/>
                <w:szCs w:val="24"/>
              </w:rPr>
              <w:t>Performance and Insight manager</w:t>
            </w:r>
          </w:p>
        </w:tc>
      </w:tr>
    </w:tbl>
    <w:p w14:paraId="3132B88C" w14:textId="77777777" w:rsidR="0083468E" w:rsidRPr="00B21893" w:rsidRDefault="0083468E" w:rsidP="00823F43">
      <w:pPr>
        <w:spacing w:after="0"/>
        <w:jc w:val="both"/>
        <w:rPr>
          <w:rFonts w:ascii="Arial" w:hAnsi="Arial" w:cs="Arial"/>
          <w:sz w:val="40"/>
          <w:szCs w:val="40"/>
        </w:rPr>
      </w:pPr>
    </w:p>
    <w:p w14:paraId="5E76D09F" w14:textId="77777777" w:rsidR="00E93035" w:rsidRPr="00B21893" w:rsidRDefault="00E93035" w:rsidP="00823F43">
      <w:pPr>
        <w:spacing w:after="0"/>
        <w:jc w:val="both"/>
        <w:rPr>
          <w:rFonts w:ascii="Arial" w:hAnsi="Arial" w:cs="Arial"/>
          <w:sz w:val="40"/>
          <w:szCs w:val="40"/>
        </w:rPr>
      </w:pPr>
    </w:p>
    <w:p w14:paraId="7C7F68CB" w14:textId="77777777" w:rsidR="00E93035" w:rsidRPr="00B21893" w:rsidRDefault="00E93035" w:rsidP="00823F43">
      <w:pPr>
        <w:spacing w:after="0"/>
        <w:jc w:val="both"/>
        <w:rPr>
          <w:rFonts w:ascii="Arial" w:hAnsi="Arial" w:cs="Arial"/>
          <w:sz w:val="40"/>
          <w:szCs w:val="40"/>
        </w:rPr>
      </w:pPr>
    </w:p>
    <w:p w14:paraId="5588E3BA" w14:textId="77777777" w:rsidR="0083468E" w:rsidRPr="00B21893" w:rsidRDefault="0083468E" w:rsidP="00823F43">
      <w:pPr>
        <w:spacing w:after="0"/>
        <w:jc w:val="both"/>
        <w:rPr>
          <w:rFonts w:ascii="Arial" w:hAnsi="Arial" w:cs="Arial"/>
          <w:sz w:val="40"/>
          <w:szCs w:val="40"/>
        </w:rPr>
      </w:pPr>
    </w:p>
    <w:p w14:paraId="1DB363AE" w14:textId="77777777" w:rsidR="0083468E" w:rsidRPr="00B21893" w:rsidRDefault="0083468E" w:rsidP="00823F43">
      <w:pPr>
        <w:spacing w:after="0"/>
        <w:jc w:val="both"/>
        <w:rPr>
          <w:rFonts w:ascii="Arial" w:hAnsi="Arial" w:cs="Arial"/>
          <w:sz w:val="40"/>
          <w:szCs w:val="40"/>
        </w:rPr>
      </w:pPr>
    </w:p>
    <w:p w14:paraId="582F1F01" w14:textId="77777777" w:rsidR="0083468E" w:rsidRPr="00B21893" w:rsidRDefault="0083468E" w:rsidP="00823F43">
      <w:pPr>
        <w:spacing w:after="0"/>
        <w:jc w:val="both"/>
        <w:rPr>
          <w:rFonts w:ascii="Arial" w:hAnsi="Arial" w:cs="Arial"/>
          <w:sz w:val="40"/>
          <w:szCs w:val="40"/>
        </w:rPr>
      </w:pPr>
    </w:p>
    <w:p w14:paraId="085EC926" w14:textId="77777777" w:rsidR="0083468E" w:rsidRPr="00B21893" w:rsidRDefault="0083468E" w:rsidP="00823F43">
      <w:pPr>
        <w:spacing w:after="0"/>
        <w:jc w:val="both"/>
        <w:rPr>
          <w:rFonts w:ascii="Arial" w:hAnsi="Arial" w:cs="Arial"/>
          <w:sz w:val="40"/>
          <w:szCs w:val="40"/>
        </w:rPr>
      </w:pPr>
    </w:p>
    <w:p w14:paraId="2E2AEE20" w14:textId="77777777" w:rsidR="0083468E" w:rsidRPr="00B21893" w:rsidRDefault="0083468E" w:rsidP="00823F43">
      <w:pPr>
        <w:spacing w:after="0"/>
        <w:jc w:val="both"/>
        <w:rPr>
          <w:rFonts w:ascii="Arial" w:hAnsi="Arial" w:cs="Arial"/>
          <w:sz w:val="40"/>
          <w:szCs w:val="40"/>
        </w:rPr>
      </w:pPr>
    </w:p>
    <w:p w14:paraId="0FB31576" w14:textId="77777777" w:rsidR="0083468E" w:rsidRPr="00B21893" w:rsidRDefault="0083468E" w:rsidP="00823F43">
      <w:pPr>
        <w:spacing w:after="0"/>
        <w:jc w:val="both"/>
        <w:rPr>
          <w:rFonts w:ascii="Arial" w:hAnsi="Arial" w:cs="Arial"/>
          <w:sz w:val="40"/>
          <w:szCs w:val="40"/>
        </w:rPr>
      </w:pPr>
    </w:p>
    <w:p w14:paraId="2DF14B73" w14:textId="77777777" w:rsidR="0083468E" w:rsidRPr="00B21893" w:rsidRDefault="0083468E" w:rsidP="00823F43">
      <w:pPr>
        <w:spacing w:after="0"/>
        <w:jc w:val="both"/>
        <w:rPr>
          <w:rFonts w:ascii="Arial" w:hAnsi="Arial" w:cs="Arial"/>
          <w:sz w:val="40"/>
          <w:szCs w:val="40"/>
        </w:rPr>
      </w:pPr>
    </w:p>
    <w:p w14:paraId="58E403E6" w14:textId="77777777" w:rsidR="005A374B" w:rsidRPr="00B21893" w:rsidRDefault="005A374B" w:rsidP="00823F43">
      <w:pPr>
        <w:spacing w:after="0"/>
        <w:jc w:val="both"/>
        <w:rPr>
          <w:rFonts w:ascii="Arial" w:hAnsi="Arial" w:cs="Arial"/>
          <w:sz w:val="40"/>
          <w:szCs w:val="40"/>
        </w:rPr>
      </w:pPr>
    </w:p>
    <w:p w14:paraId="606D1267" w14:textId="77777777" w:rsidR="005A374B" w:rsidRPr="00B21893" w:rsidRDefault="005A374B" w:rsidP="00823F43">
      <w:pPr>
        <w:spacing w:after="0"/>
        <w:jc w:val="both"/>
        <w:rPr>
          <w:rFonts w:ascii="Arial" w:hAnsi="Arial" w:cs="Arial"/>
          <w:sz w:val="40"/>
          <w:szCs w:val="40"/>
        </w:rPr>
      </w:pPr>
    </w:p>
    <w:p w14:paraId="553F4D2F" w14:textId="127C72B3" w:rsidR="00AD2A97" w:rsidRPr="00B21893" w:rsidRDefault="00AD2A97">
      <w:pPr>
        <w:rPr>
          <w:rFonts w:ascii="Arial" w:hAnsi="Arial" w:cs="Arial"/>
          <w:sz w:val="40"/>
          <w:szCs w:val="40"/>
        </w:rPr>
      </w:pPr>
      <w:r w:rsidRPr="00B21893">
        <w:rPr>
          <w:rFonts w:ascii="Arial" w:hAnsi="Arial" w:cs="Arial"/>
          <w:sz w:val="40"/>
          <w:szCs w:val="40"/>
        </w:rPr>
        <w:lastRenderedPageBreak/>
        <w:br w:type="page"/>
      </w:r>
    </w:p>
    <w:p w14:paraId="5F61BBBF" w14:textId="42693821" w:rsidR="001A5C32" w:rsidRPr="00B21893" w:rsidRDefault="002E5D23" w:rsidP="00823F4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lastRenderedPageBreak/>
        <w:t>Introduction</w:t>
      </w:r>
    </w:p>
    <w:p w14:paraId="3F40C20E" w14:textId="02130CFA" w:rsidR="001A5C32" w:rsidRPr="00B21893" w:rsidRDefault="003E69B0"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The Localism Act (2011) enabled local authorities to influence and decide on its tenancy management framework and how tenancies should be offered and managed. </w:t>
      </w:r>
      <w:r w:rsidR="00A72929" w:rsidRPr="00B21893">
        <w:rPr>
          <w:rFonts w:ascii="Arial" w:hAnsi="Arial" w:cs="Arial"/>
          <w:sz w:val="24"/>
          <w:szCs w:val="24"/>
        </w:rPr>
        <w:t>Mansfield District Council’s (MDC)</w:t>
      </w:r>
      <w:r w:rsidRPr="00B21893">
        <w:rPr>
          <w:rFonts w:ascii="Arial" w:hAnsi="Arial" w:cs="Arial"/>
          <w:sz w:val="24"/>
          <w:szCs w:val="24"/>
        </w:rPr>
        <w:t xml:space="preserve"> position is that secure periodic (lifetime) tenancies offer the best level of security for its social housing tenants. The Council therefore commits to issuing only secure periodic tenancies to its social housing tenants unless in exceptional circumstance</w:t>
      </w:r>
      <w:r w:rsidR="00A72929" w:rsidRPr="00B21893">
        <w:rPr>
          <w:rFonts w:ascii="Arial" w:hAnsi="Arial" w:cs="Arial"/>
          <w:sz w:val="24"/>
          <w:szCs w:val="24"/>
        </w:rPr>
        <w:t>s</w:t>
      </w:r>
      <w:r w:rsidRPr="00B21893">
        <w:rPr>
          <w:rFonts w:ascii="Arial" w:hAnsi="Arial" w:cs="Arial"/>
          <w:sz w:val="24"/>
          <w:szCs w:val="24"/>
        </w:rPr>
        <w:t xml:space="preserve">. </w:t>
      </w:r>
    </w:p>
    <w:p w14:paraId="7EC2BF34" w14:textId="77777777" w:rsidR="00823F43" w:rsidRPr="00B21893" w:rsidRDefault="00823F43" w:rsidP="00823F43">
      <w:pPr>
        <w:pStyle w:val="ListParagraph"/>
        <w:spacing w:line="276" w:lineRule="auto"/>
        <w:ind w:left="567"/>
        <w:jc w:val="both"/>
        <w:rPr>
          <w:rFonts w:ascii="Arial" w:hAnsi="Arial" w:cs="Arial"/>
          <w:sz w:val="24"/>
          <w:szCs w:val="24"/>
        </w:rPr>
      </w:pPr>
    </w:p>
    <w:p w14:paraId="70943D38" w14:textId="102E178B" w:rsidR="002E5D23" w:rsidRPr="00B21893" w:rsidRDefault="003E69B0"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The Tenancy Policy is in line with national requirements as set out in the Localism Act (2011) and the Housing Act (1985) which all registered providers of social housing must follow.</w:t>
      </w:r>
    </w:p>
    <w:p w14:paraId="5541B45E" w14:textId="77777777" w:rsidR="00823F43" w:rsidRPr="00B21893" w:rsidRDefault="00823F43" w:rsidP="00823F43">
      <w:pPr>
        <w:pStyle w:val="ListParagraph"/>
        <w:spacing w:line="276" w:lineRule="auto"/>
        <w:rPr>
          <w:rFonts w:ascii="Arial" w:hAnsi="Arial" w:cs="Arial"/>
          <w:sz w:val="24"/>
          <w:szCs w:val="24"/>
        </w:rPr>
      </w:pPr>
    </w:p>
    <w:p w14:paraId="598DD776" w14:textId="1D191F01" w:rsidR="0083468E" w:rsidRPr="00B21893" w:rsidRDefault="0083468E" w:rsidP="00823F4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t>Purpose</w:t>
      </w:r>
      <w:r w:rsidR="00AA4B94" w:rsidRPr="00B21893">
        <w:rPr>
          <w:rFonts w:ascii="Arial" w:hAnsi="Arial" w:cs="Arial"/>
          <w:b/>
          <w:bCs/>
          <w:sz w:val="24"/>
          <w:szCs w:val="24"/>
        </w:rPr>
        <w:t xml:space="preserve"> and scope</w:t>
      </w:r>
    </w:p>
    <w:p w14:paraId="6534F185" w14:textId="3D6A6148" w:rsidR="0083468E" w:rsidRPr="00B21893" w:rsidRDefault="0083468E"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The purpose of this policy is to ensure that current and future tenancies within MDC are managed consistently. </w:t>
      </w:r>
    </w:p>
    <w:p w14:paraId="105DF0B3" w14:textId="77777777" w:rsidR="0083468E" w:rsidRPr="00B21893" w:rsidRDefault="0083468E" w:rsidP="00823F43">
      <w:pPr>
        <w:pStyle w:val="ListParagraph"/>
        <w:spacing w:line="276" w:lineRule="auto"/>
        <w:ind w:left="567"/>
        <w:jc w:val="both"/>
        <w:rPr>
          <w:rFonts w:ascii="Arial" w:hAnsi="Arial" w:cs="Arial"/>
          <w:sz w:val="24"/>
          <w:szCs w:val="24"/>
        </w:rPr>
      </w:pPr>
    </w:p>
    <w:p w14:paraId="3B2278AC" w14:textId="3715B23C" w:rsidR="0083468E" w:rsidRPr="00B21893" w:rsidRDefault="0083468E"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The policy will provide information on:</w:t>
      </w:r>
    </w:p>
    <w:p w14:paraId="49C38A92" w14:textId="77777777" w:rsidR="0083468E" w:rsidRPr="00B21893" w:rsidRDefault="0083468E" w:rsidP="00823F43">
      <w:pPr>
        <w:spacing w:after="0"/>
        <w:jc w:val="both"/>
        <w:rPr>
          <w:rFonts w:ascii="Arial" w:hAnsi="Arial" w:cs="Arial"/>
          <w:sz w:val="24"/>
          <w:szCs w:val="24"/>
        </w:rPr>
      </w:pPr>
    </w:p>
    <w:p w14:paraId="347C33E7" w14:textId="0B63747C" w:rsidR="0083468E" w:rsidRPr="00B21893" w:rsidRDefault="00B21893" w:rsidP="00823F43">
      <w:pPr>
        <w:numPr>
          <w:ilvl w:val="0"/>
          <w:numId w:val="30"/>
        </w:numPr>
        <w:tabs>
          <w:tab w:val="clear" w:pos="720"/>
        </w:tabs>
        <w:spacing w:after="0"/>
        <w:ind w:left="1276" w:hanging="283"/>
        <w:jc w:val="both"/>
        <w:rPr>
          <w:rFonts w:ascii="Arial" w:hAnsi="Arial" w:cs="Arial"/>
          <w:sz w:val="24"/>
          <w:szCs w:val="24"/>
        </w:rPr>
      </w:pPr>
      <w:r>
        <w:rPr>
          <w:rFonts w:ascii="Arial" w:hAnsi="Arial" w:cs="Arial"/>
          <w:sz w:val="24"/>
          <w:szCs w:val="24"/>
        </w:rPr>
        <w:t>T</w:t>
      </w:r>
      <w:r w:rsidR="0083468E" w:rsidRPr="00B21893">
        <w:rPr>
          <w:rFonts w:ascii="Arial" w:hAnsi="Arial" w:cs="Arial"/>
          <w:sz w:val="24"/>
          <w:szCs w:val="24"/>
        </w:rPr>
        <w:t>he kinds of tenancies we grant,</w:t>
      </w:r>
    </w:p>
    <w:p w14:paraId="1BE00175" w14:textId="2A956EE7" w:rsidR="0083468E" w:rsidRPr="00B21893" w:rsidRDefault="00B21893" w:rsidP="00823F43">
      <w:pPr>
        <w:numPr>
          <w:ilvl w:val="0"/>
          <w:numId w:val="30"/>
        </w:numPr>
        <w:tabs>
          <w:tab w:val="clear" w:pos="720"/>
        </w:tabs>
        <w:spacing w:after="0"/>
        <w:ind w:left="1276" w:hanging="283"/>
        <w:jc w:val="both"/>
        <w:rPr>
          <w:rFonts w:ascii="Arial" w:hAnsi="Arial" w:cs="Arial"/>
          <w:sz w:val="24"/>
          <w:szCs w:val="24"/>
        </w:rPr>
      </w:pPr>
      <w:r>
        <w:rPr>
          <w:rFonts w:ascii="Arial" w:hAnsi="Arial" w:cs="Arial"/>
          <w:sz w:val="24"/>
          <w:szCs w:val="24"/>
        </w:rPr>
        <w:t>T</w:t>
      </w:r>
      <w:r w:rsidR="0083468E" w:rsidRPr="00B21893">
        <w:rPr>
          <w:rFonts w:ascii="Arial" w:hAnsi="Arial" w:cs="Arial"/>
          <w:sz w:val="24"/>
          <w:szCs w:val="24"/>
        </w:rPr>
        <w:t>he circumstances in which we grant a tenancy of a particular kind,</w:t>
      </w:r>
    </w:p>
    <w:p w14:paraId="7BA4A57D" w14:textId="4C8056DC" w:rsidR="0083468E" w:rsidRPr="00B21893" w:rsidRDefault="00B21893" w:rsidP="00823F43">
      <w:pPr>
        <w:numPr>
          <w:ilvl w:val="0"/>
          <w:numId w:val="30"/>
        </w:numPr>
        <w:tabs>
          <w:tab w:val="clear" w:pos="720"/>
        </w:tabs>
        <w:spacing w:after="0"/>
        <w:ind w:left="1276" w:hanging="283"/>
        <w:jc w:val="both"/>
        <w:rPr>
          <w:rFonts w:ascii="Arial" w:hAnsi="Arial" w:cs="Arial"/>
          <w:sz w:val="24"/>
          <w:szCs w:val="24"/>
        </w:rPr>
      </w:pPr>
      <w:r>
        <w:rPr>
          <w:rFonts w:ascii="Arial" w:hAnsi="Arial" w:cs="Arial"/>
          <w:sz w:val="24"/>
          <w:szCs w:val="24"/>
        </w:rPr>
        <w:t>W</w:t>
      </w:r>
      <w:r w:rsidR="0083468E" w:rsidRPr="00B21893">
        <w:rPr>
          <w:rFonts w:ascii="Arial" w:hAnsi="Arial" w:cs="Arial"/>
          <w:sz w:val="24"/>
          <w:szCs w:val="24"/>
        </w:rPr>
        <w:t>here we grant tenancies for a certain term, the lengths of the term,</w:t>
      </w:r>
    </w:p>
    <w:p w14:paraId="766DB141" w14:textId="2E9C3565" w:rsidR="0083468E" w:rsidRPr="00B21893" w:rsidRDefault="00B21893" w:rsidP="00823F43">
      <w:pPr>
        <w:numPr>
          <w:ilvl w:val="0"/>
          <w:numId w:val="30"/>
        </w:numPr>
        <w:tabs>
          <w:tab w:val="clear" w:pos="720"/>
        </w:tabs>
        <w:spacing w:after="0"/>
        <w:ind w:left="1276" w:hanging="283"/>
        <w:jc w:val="both"/>
        <w:rPr>
          <w:rFonts w:ascii="Arial" w:hAnsi="Arial" w:cs="Arial"/>
          <w:sz w:val="24"/>
          <w:szCs w:val="24"/>
        </w:rPr>
      </w:pPr>
      <w:r>
        <w:rPr>
          <w:rFonts w:ascii="Arial" w:hAnsi="Arial" w:cs="Arial"/>
          <w:sz w:val="24"/>
          <w:szCs w:val="24"/>
        </w:rPr>
        <w:t>T</w:t>
      </w:r>
      <w:r w:rsidR="0083468E" w:rsidRPr="00B21893">
        <w:rPr>
          <w:rFonts w:ascii="Arial" w:hAnsi="Arial" w:cs="Arial"/>
          <w:sz w:val="24"/>
          <w:szCs w:val="24"/>
        </w:rPr>
        <w:t>he circumstances in which we will grant a further tenancy</w:t>
      </w:r>
      <w:r w:rsidR="00A72929" w:rsidRPr="00B21893">
        <w:rPr>
          <w:rFonts w:ascii="Arial" w:hAnsi="Arial" w:cs="Arial"/>
          <w:sz w:val="24"/>
          <w:szCs w:val="24"/>
        </w:rPr>
        <w:t xml:space="preserve">, where the </w:t>
      </w:r>
      <w:r w:rsidR="0083468E" w:rsidRPr="00B21893">
        <w:rPr>
          <w:rFonts w:ascii="Arial" w:hAnsi="Arial" w:cs="Arial"/>
          <w:sz w:val="24"/>
          <w:szCs w:val="24"/>
        </w:rPr>
        <w:t xml:space="preserve">existing tenancy </w:t>
      </w:r>
      <w:r w:rsidR="00A72929" w:rsidRPr="00B21893">
        <w:rPr>
          <w:rFonts w:ascii="Arial" w:hAnsi="Arial" w:cs="Arial"/>
          <w:sz w:val="24"/>
          <w:szCs w:val="24"/>
        </w:rPr>
        <w:t xml:space="preserve">is coming to an end, </w:t>
      </w:r>
      <w:r w:rsidR="0083468E" w:rsidRPr="00B21893">
        <w:rPr>
          <w:rFonts w:ascii="Arial" w:hAnsi="Arial" w:cs="Arial"/>
          <w:sz w:val="24"/>
          <w:szCs w:val="24"/>
        </w:rPr>
        <w:t>and clear guidance on the appeals procedure</w:t>
      </w:r>
      <w:r w:rsidR="00A72929" w:rsidRPr="00B21893">
        <w:rPr>
          <w:rFonts w:ascii="Arial" w:hAnsi="Arial" w:cs="Arial"/>
          <w:sz w:val="24"/>
          <w:szCs w:val="24"/>
        </w:rPr>
        <w:t>,</w:t>
      </w:r>
    </w:p>
    <w:p w14:paraId="69360CC3" w14:textId="42AD2EA1" w:rsidR="0083468E" w:rsidRPr="00B21893" w:rsidRDefault="00B21893" w:rsidP="00823F43">
      <w:pPr>
        <w:numPr>
          <w:ilvl w:val="0"/>
          <w:numId w:val="30"/>
        </w:numPr>
        <w:tabs>
          <w:tab w:val="clear" w:pos="720"/>
        </w:tabs>
        <w:spacing w:after="0"/>
        <w:ind w:left="1276" w:hanging="283"/>
        <w:jc w:val="both"/>
        <w:rPr>
          <w:rFonts w:ascii="Arial" w:hAnsi="Arial" w:cs="Arial"/>
          <w:sz w:val="24"/>
          <w:szCs w:val="24"/>
        </w:rPr>
      </w:pPr>
      <w:r>
        <w:rPr>
          <w:rFonts w:ascii="Arial" w:hAnsi="Arial" w:cs="Arial"/>
          <w:sz w:val="24"/>
          <w:szCs w:val="24"/>
        </w:rPr>
        <w:t>S</w:t>
      </w:r>
      <w:r w:rsidR="0083468E" w:rsidRPr="00B21893">
        <w:rPr>
          <w:rFonts w:ascii="Arial" w:hAnsi="Arial" w:cs="Arial"/>
          <w:sz w:val="24"/>
          <w:szCs w:val="24"/>
        </w:rPr>
        <w:t>uccession rights</w:t>
      </w:r>
      <w:r w:rsidR="00A72929" w:rsidRPr="00B21893">
        <w:rPr>
          <w:rFonts w:ascii="Arial" w:hAnsi="Arial" w:cs="Arial"/>
          <w:sz w:val="24"/>
          <w:szCs w:val="24"/>
        </w:rPr>
        <w:t>,</w:t>
      </w:r>
    </w:p>
    <w:p w14:paraId="3157F900" w14:textId="260DCFB2" w:rsidR="0083468E" w:rsidRPr="00B21893" w:rsidRDefault="00B21893" w:rsidP="00823F43">
      <w:pPr>
        <w:numPr>
          <w:ilvl w:val="0"/>
          <w:numId w:val="30"/>
        </w:numPr>
        <w:tabs>
          <w:tab w:val="clear" w:pos="720"/>
        </w:tabs>
        <w:spacing w:after="0"/>
        <w:ind w:left="1276" w:hanging="283"/>
        <w:jc w:val="both"/>
        <w:rPr>
          <w:rFonts w:ascii="Arial" w:hAnsi="Arial" w:cs="Arial"/>
          <w:sz w:val="24"/>
          <w:szCs w:val="24"/>
        </w:rPr>
      </w:pPr>
      <w:r>
        <w:rPr>
          <w:rFonts w:ascii="Arial" w:hAnsi="Arial" w:cs="Arial"/>
          <w:sz w:val="24"/>
          <w:szCs w:val="24"/>
        </w:rPr>
        <w:t>M</w:t>
      </w:r>
      <w:r w:rsidR="0083468E" w:rsidRPr="00B21893">
        <w:rPr>
          <w:rFonts w:ascii="Arial" w:hAnsi="Arial" w:cs="Arial"/>
          <w:sz w:val="24"/>
          <w:szCs w:val="24"/>
        </w:rPr>
        <w:t>utual exchanges</w:t>
      </w:r>
      <w:r w:rsidR="00A72929" w:rsidRPr="00B21893">
        <w:rPr>
          <w:rFonts w:ascii="Arial" w:hAnsi="Arial" w:cs="Arial"/>
          <w:sz w:val="24"/>
          <w:szCs w:val="24"/>
        </w:rPr>
        <w:t>.</w:t>
      </w:r>
    </w:p>
    <w:p w14:paraId="65EEDC7A" w14:textId="77777777" w:rsidR="0083468E" w:rsidRPr="00B21893" w:rsidRDefault="0083468E" w:rsidP="00823F43">
      <w:pPr>
        <w:spacing w:after="0"/>
        <w:jc w:val="both"/>
        <w:rPr>
          <w:rFonts w:ascii="Arial" w:hAnsi="Arial" w:cs="Arial"/>
          <w:sz w:val="24"/>
          <w:szCs w:val="24"/>
        </w:rPr>
      </w:pPr>
    </w:p>
    <w:p w14:paraId="4E3284C1" w14:textId="54477F31" w:rsidR="0083468E" w:rsidRPr="00B21893" w:rsidRDefault="0083468E"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In addition, the policy clarifies how </w:t>
      </w:r>
      <w:r w:rsidR="00DF5D92" w:rsidRPr="00B21893">
        <w:rPr>
          <w:rFonts w:ascii="Arial" w:hAnsi="Arial" w:cs="Arial"/>
          <w:sz w:val="24"/>
          <w:szCs w:val="24"/>
        </w:rPr>
        <w:t>MDC</w:t>
      </w:r>
      <w:r w:rsidRPr="00B21893">
        <w:rPr>
          <w:rFonts w:ascii="Arial" w:hAnsi="Arial" w:cs="Arial"/>
          <w:sz w:val="24"/>
          <w:szCs w:val="24"/>
        </w:rPr>
        <w:t xml:space="preserve"> will:</w:t>
      </w:r>
    </w:p>
    <w:p w14:paraId="1A00C242" w14:textId="77777777" w:rsidR="00DF5D92" w:rsidRPr="00B21893" w:rsidRDefault="00DF5D92" w:rsidP="00823F43">
      <w:pPr>
        <w:spacing w:after="0"/>
        <w:jc w:val="both"/>
        <w:rPr>
          <w:rFonts w:ascii="Arial" w:hAnsi="Arial" w:cs="Arial"/>
          <w:sz w:val="24"/>
          <w:szCs w:val="24"/>
        </w:rPr>
      </w:pPr>
    </w:p>
    <w:p w14:paraId="031BBA1B" w14:textId="02A04D5D" w:rsidR="0083468E" w:rsidRPr="00B21893" w:rsidRDefault="00B21893" w:rsidP="00B21893">
      <w:pPr>
        <w:numPr>
          <w:ilvl w:val="0"/>
          <w:numId w:val="36"/>
        </w:numPr>
        <w:spacing w:after="0"/>
        <w:jc w:val="both"/>
        <w:rPr>
          <w:rFonts w:ascii="Arial" w:hAnsi="Arial" w:cs="Arial"/>
          <w:sz w:val="24"/>
          <w:szCs w:val="24"/>
        </w:rPr>
      </w:pPr>
      <w:r>
        <w:rPr>
          <w:rFonts w:ascii="Arial" w:hAnsi="Arial" w:cs="Arial"/>
          <w:sz w:val="24"/>
          <w:szCs w:val="24"/>
        </w:rPr>
        <w:t>S</w:t>
      </w:r>
      <w:r w:rsidR="0083468E" w:rsidRPr="00B21893">
        <w:rPr>
          <w:rFonts w:ascii="Arial" w:hAnsi="Arial" w:cs="Arial"/>
          <w:sz w:val="24"/>
          <w:szCs w:val="24"/>
        </w:rPr>
        <w:t xml:space="preserve">upport tenancy sustainment, </w:t>
      </w:r>
    </w:p>
    <w:p w14:paraId="1D8F7C97" w14:textId="6B2FE888" w:rsidR="0083468E" w:rsidRPr="00B21893" w:rsidRDefault="00B21893" w:rsidP="00B21893">
      <w:pPr>
        <w:numPr>
          <w:ilvl w:val="0"/>
          <w:numId w:val="36"/>
        </w:numPr>
        <w:spacing w:after="0"/>
        <w:jc w:val="both"/>
        <w:rPr>
          <w:rFonts w:ascii="Arial" w:hAnsi="Arial" w:cs="Arial"/>
          <w:sz w:val="24"/>
          <w:szCs w:val="24"/>
        </w:rPr>
      </w:pPr>
      <w:r>
        <w:rPr>
          <w:rFonts w:ascii="Arial" w:hAnsi="Arial" w:cs="Arial"/>
          <w:sz w:val="24"/>
          <w:szCs w:val="24"/>
        </w:rPr>
        <w:t>P</w:t>
      </w:r>
      <w:r w:rsidR="0083468E" w:rsidRPr="00B21893">
        <w:rPr>
          <w:rFonts w:ascii="Arial" w:hAnsi="Arial" w:cs="Arial"/>
          <w:sz w:val="24"/>
          <w:szCs w:val="24"/>
        </w:rPr>
        <w:t>revent unnecessary eviction</w:t>
      </w:r>
      <w:r w:rsidR="00A72929" w:rsidRPr="00B21893">
        <w:rPr>
          <w:rFonts w:ascii="Arial" w:hAnsi="Arial" w:cs="Arial"/>
          <w:sz w:val="24"/>
          <w:szCs w:val="24"/>
        </w:rPr>
        <w:t>.</w:t>
      </w:r>
      <w:r w:rsidR="0083468E" w:rsidRPr="00B21893">
        <w:rPr>
          <w:rFonts w:ascii="Arial" w:hAnsi="Arial" w:cs="Arial"/>
          <w:sz w:val="24"/>
          <w:szCs w:val="24"/>
        </w:rPr>
        <w:t xml:space="preserve"> </w:t>
      </w:r>
    </w:p>
    <w:p w14:paraId="13F3F192" w14:textId="77777777" w:rsidR="00AA4B94" w:rsidRPr="00B21893" w:rsidRDefault="00AA4B94" w:rsidP="00823F43">
      <w:pPr>
        <w:spacing w:after="0"/>
        <w:ind w:left="1276" w:hanging="283"/>
        <w:jc w:val="both"/>
        <w:rPr>
          <w:rFonts w:ascii="Arial" w:hAnsi="Arial" w:cs="Arial"/>
          <w:sz w:val="24"/>
          <w:szCs w:val="24"/>
        </w:rPr>
      </w:pPr>
    </w:p>
    <w:p w14:paraId="2A2381E1" w14:textId="3BC18210" w:rsidR="00AA4B94" w:rsidRPr="00B21893" w:rsidRDefault="005D2587"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This policy will apply to all customers who hold a tenancy with MDC</w:t>
      </w:r>
      <w:r w:rsidR="00A72929" w:rsidRPr="00B21893">
        <w:rPr>
          <w:rFonts w:ascii="Arial" w:hAnsi="Arial" w:cs="Arial"/>
          <w:sz w:val="24"/>
          <w:szCs w:val="24"/>
        </w:rPr>
        <w:t>.</w:t>
      </w:r>
    </w:p>
    <w:p w14:paraId="01E261A0" w14:textId="77777777" w:rsidR="0083468E" w:rsidRPr="00B21893" w:rsidRDefault="0083468E" w:rsidP="00823F43">
      <w:pPr>
        <w:spacing w:after="0"/>
        <w:ind w:left="1276" w:hanging="283"/>
        <w:jc w:val="both"/>
        <w:rPr>
          <w:rFonts w:ascii="Arial" w:hAnsi="Arial" w:cs="Arial"/>
          <w:b/>
          <w:bCs/>
          <w:sz w:val="24"/>
          <w:szCs w:val="24"/>
        </w:rPr>
      </w:pPr>
    </w:p>
    <w:p w14:paraId="4E0F6A1F" w14:textId="5527DAE8" w:rsidR="0083468E" w:rsidRPr="00B21893" w:rsidRDefault="00DF5D92" w:rsidP="00823F4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t>Policy Objectives</w:t>
      </w:r>
    </w:p>
    <w:p w14:paraId="4DFAAD94" w14:textId="580819C6" w:rsidR="0083468E" w:rsidRPr="00B21893" w:rsidRDefault="0083468E"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The </w:t>
      </w:r>
      <w:r w:rsidR="00AA4B94" w:rsidRPr="00B21893">
        <w:rPr>
          <w:rFonts w:ascii="Arial" w:hAnsi="Arial" w:cs="Arial"/>
          <w:sz w:val="24"/>
          <w:szCs w:val="24"/>
        </w:rPr>
        <w:t>objectives of</w:t>
      </w:r>
      <w:r w:rsidRPr="00B21893">
        <w:rPr>
          <w:rFonts w:ascii="Arial" w:hAnsi="Arial" w:cs="Arial"/>
          <w:sz w:val="24"/>
          <w:szCs w:val="24"/>
        </w:rPr>
        <w:t xml:space="preserve"> th</w:t>
      </w:r>
      <w:r w:rsidR="00AA4B94" w:rsidRPr="00B21893">
        <w:rPr>
          <w:rFonts w:ascii="Arial" w:hAnsi="Arial" w:cs="Arial"/>
          <w:sz w:val="24"/>
          <w:szCs w:val="24"/>
        </w:rPr>
        <w:t>is</w:t>
      </w:r>
      <w:r w:rsidRPr="00B21893">
        <w:rPr>
          <w:rFonts w:ascii="Arial" w:hAnsi="Arial" w:cs="Arial"/>
          <w:sz w:val="24"/>
          <w:szCs w:val="24"/>
        </w:rPr>
        <w:t xml:space="preserve"> policy </w:t>
      </w:r>
      <w:r w:rsidR="00AA4B94" w:rsidRPr="00B21893">
        <w:rPr>
          <w:rFonts w:ascii="Arial" w:hAnsi="Arial" w:cs="Arial"/>
          <w:sz w:val="24"/>
          <w:szCs w:val="24"/>
        </w:rPr>
        <w:t>are to</w:t>
      </w:r>
      <w:r w:rsidRPr="00B21893">
        <w:rPr>
          <w:rFonts w:ascii="Arial" w:hAnsi="Arial" w:cs="Arial"/>
          <w:sz w:val="24"/>
          <w:szCs w:val="24"/>
        </w:rPr>
        <w:t>:</w:t>
      </w:r>
    </w:p>
    <w:p w14:paraId="2488077A" w14:textId="77777777" w:rsidR="00AA4B94" w:rsidRPr="00B21893" w:rsidRDefault="00AA4B94" w:rsidP="00823F43">
      <w:pPr>
        <w:tabs>
          <w:tab w:val="left" w:pos="567"/>
        </w:tabs>
        <w:spacing w:after="0"/>
        <w:jc w:val="both"/>
        <w:rPr>
          <w:rFonts w:ascii="Arial" w:hAnsi="Arial" w:cs="Arial"/>
          <w:sz w:val="24"/>
          <w:szCs w:val="24"/>
        </w:rPr>
      </w:pPr>
    </w:p>
    <w:p w14:paraId="24E1DFB5" w14:textId="49D1AA0E" w:rsidR="0083468E" w:rsidRPr="00B21893" w:rsidRDefault="00AA4B94" w:rsidP="00B21893">
      <w:pPr>
        <w:numPr>
          <w:ilvl w:val="0"/>
          <w:numId w:val="36"/>
        </w:numPr>
        <w:spacing w:after="0"/>
        <w:jc w:val="both"/>
        <w:rPr>
          <w:rFonts w:ascii="Arial" w:hAnsi="Arial" w:cs="Arial"/>
          <w:sz w:val="24"/>
          <w:szCs w:val="24"/>
        </w:rPr>
      </w:pPr>
      <w:r w:rsidRPr="00B21893">
        <w:rPr>
          <w:rFonts w:ascii="Arial" w:hAnsi="Arial" w:cs="Arial"/>
          <w:sz w:val="24"/>
          <w:szCs w:val="24"/>
        </w:rPr>
        <w:t>M</w:t>
      </w:r>
      <w:r w:rsidR="0083468E" w:rsidRPr="00B21893">
        <w:rPr>
          <w:rFonts w:ascii="Arial" w:hAnsi="Arial" w:cs="Arial"/>
          <w:sz w:val="24"/>
          <w:szCs w:val="24"/>
        </w:rPr>
        <w:t>eet the requirements of the Tenancy Standard</w:t>
      </w:r>
      <w:r w:rsidRPr="00B21893">
        <w:rPr>
          <w:rFonts w:ascii="Arial" w:hAnsi="Arial" w:cs="Arial"/>
          <w:sz w:val="24"/>
          <w:szCs w:val="24"/>
        </w:rPr>
        <w:t xml:space="preserve"> set by the Regulator for Social Housing (RSH)</w:t>
      </w:r>
      <w:r w:rsidR="00A72929" w:rsidRPr="00B21893">
        <w:rPr>
          <w:rFonts w:ascii="Arial" w:hAnsi="Arial" w:cs="Arial"/>
          <w:sz w:val="24"/>
          <w:szCs w:val="24"/>
        </w:rPr>
        <w:t>,</w:t>
      </w:r>
    </w:p>
    <w:p w14:paraId="084FED89" w14:textId="36F2D70C" w:rsidR="0083468E" w:rsidRPr="00B21893" w:rsidRDefault="00AA4B94" w:rsidP="00B21893">
      <w:pPr>
        <w:numPr>
          <w:ilvl w:val="0"/>
          <w:numId w:val="36"/>
        </w:numPr>
        <w:spacing w:after="0"/>
        <w:jc w:val="both"/>
        <w:rPr>
          <w:rFonts w:ascii="Arial" w:hAnsi="Arial" w:cs="Arial"/>
          <w:sz w:val="24"/>
          <w:szCs w:val="24"/>
        </w:rPr>
      </w:pPr>
      <w:r w:rsidRPr="00B21893">
        <w:rPr>
          <w:rFonts w:ascii="Arial" w:hAnsi="Arial" w:cs="Arial"/>
          <w:sz w:val="24"/>
          <w:szCs w:val="24"/>
        </w:rPr>
        <w:t>Support the delivery of MDC’s Vision, ambitions and priorities as set out in “Towards 20</w:t>
      </w:r>
      <w:r w:rsidR="00FC145D" w:rsidRPr="00B21893">
        <w:rPr>
          <w:rFonts w:ascii="Arial" w:hAnsi="Arial" w:cs="Arial"/>
          <w:sz w:val="24"/>
          <w:szCs w:val="24"/>
        </w:rPr>
        <w:t>30</w:t>
      </w:r>
      <w:r w:rsidRPr="00B21893">
        <w:rPr>
          <w:rFonts w:ascii="Arial" w:hAnsi="Arial" w:cs="Arial"/>
          <w:sz w:val="24"/>
          <w:szCs w:val="24"/>
        </w:rPr>
        <w:t>, A Strategy for Mansfield”</w:t>
      </w:r>
      <w:r w:rsidR="0083468E" w:rsidRPr="00B21893">
        <w:rPr>
          <w:rFonts w:ascii="Arial" w:hAnsi="Arial" w:cs="Arial"/>
          <w:sz w:val="24"/>
          <w:szCs w:val="24"/>
        </w:rPr>
        <w:t>.</w:t>
      </w:r>
    </w:p>
    <w:p w14:paraId="729A4791" w14:textId="77777777" w:rsidR="0083468E" w:rsidRPr="00B21893" w:rsidRDefault="0083468E" w:rsidP="00823F43">
      <w:pPr>
        <w:spacing w:after="0"/>
        <w:ind w:left="720"/>
        <w:jc w:val="both"/>
        <w:rPr>
          <w:rFonts w:ascii="Arial" w:hAnsi="Arial" w:cs="Arial"/>
          <w:sz w:val="24"/>
          <w:szCs w:val="24"/>
        </w:rPr>
      </w:pPr>
    </w:p>
    <w:p w14:paraId="40D2EAF4" w14:textId="71E4F63E" w:rsidR="0083468E" w:rsidRPr="00B21893" w:rsidRDefault="0083468E" w:rsidP="00823F4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lastRenderedPageBreak/>
        <w:t>Legislation and Regulation</w:t>
      </w:r>
    </w:p>
    <w:p w14:paraId="768C5BD8" w14:textId="2864C3C3" w:rsidR="0083468E" w:rsidRPr="00B21893" w:rsidRDefault="00A72929"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MDC</w:t>
      </w:r>
      <w:r w:rsidR="0083468E" w:rsidRPr="00B21893">
        <w:rPr>
          <w:rFonts w:ascii="Arial" w:hAnsi="Arial" w:cs="Arial"/>
          <w:sz w:val="24"/>
          <w:szCs w:val="24"/>
        </w:rPr>
        <w:t xml:space="preserve"> is required to comply with</w:t>
      </w:r>
      <w:r w:rsidRPr="00B21893">
        <w:rPr>
          <w:rFonts w:ascii="Arial" w:hAnsi="Arial" w:cs="Arial"/>
          <w:sz w:val="24"/>
          <w:szCs w:val="24"/>
        </w:rPr>
        <w:t>,</w:t>
      </w:r>
      <w:r w:rsidR="0083468E" w:rsidRPr="00B21893">
        <w:rPr>
          <w:rFonts w:ascii="Arial" w:hAnsi="Arial" w:cs="Arial"/>
          <w:sz w:val="24"/>
          <w:szCs w:val="24"/>
        </w:rPr>
        <w:t xml:space="preserve"> and give due regard to</w:t>
      </w:r>
      <w:r w:rsidRPr="00B21893">
        <w:rPr>
          <w:rFonts w:ascii="Arial" w:hAnsi="Arial" w:cs="Arial"/>
          <w:sz w:val="24"/>
          <w:szCs w:val="24"/>
        </w:rPr>
        <w:t>,</w:t>
      </w:r>
      <w:r w:rsidR="0083468E" w:rsidRPr="00B21893">
        <w:rPr>
          <w:rFonts w:ascii="Arial" w:hAnsi="Arial" w:cs="Arial"/>
          <w:sz w:val="24"/>
          <w:szCs w:val="24"/>
        </w:rPr>
        <w:t xml:space="preserve"> statutory requirements and codes of guidance in relation to its granting and management of tenancies</w:t>
      </w:r>
      <w:r w:rsidR="005D2587" w:rsidRPr="00B21893">
        <w:rPr>
          <w:rFonts w:ascii="Arial" w:hAnsi="Arial" w:cs="Arial"/>
          <w:sz w:val="24"/>
          <w:szCs w:val="24"/>
        </w:rPr>
        <w:t xml:space="preserve"> including:</w:t>
      </w:r>
    </w:p>
    <w:p w14:paraId="40438DE0" w14:textId="77777777" w:rsidR="005D2587" w:rsidRPr="00B21893" w:rsidRDefault="005D2587" w:rsidP="00823F43">
      <w:pPr>
        <w:spacing w:after="0"/>
        <w:ind w:left="567" w:hanging="567"/>
        <w:jc w:val="both"/>
        <w:rPr>
          <w:rFonts w:ascii="Arial" w:hAnsi="Arial" w:cs="Arial"/>
          <w:sz w:val="24"/>
          <w:szCs w:val="24"/>
        </w:rPr>
      </w:pPr>
    </w:p>
    <w:p w14:paraId="01AC5912" w14:textId="5F57CE65" w:rsidR="0083468E" w:rsidRPr="00B21893" w:rsidRDefault="0083468E" w:rsidP="00B21893">
      <w:pPr>
        <w:numPr>
          <w:ilvl w:val="0"/>
          <w:numId w:val="36"/>
        </w:numPr>
        <w:spacing w:after="0"/>
        <w:jc w:val="both"/>
        <w:rPr>
          <w:rFonts w:ascii="Arial" w:hAnsi="Arial" w:cs="Arial"/>
          <w:sz w:val="24"/>
          <w:szCs w:val="24"/>
        </w:rPr>
      </w:pPr>
      <w:r w:rsidRPr="00B21893">
        <w:rPr>
          <w:rFonts w:ascii="Arial" w:hAnsi="Arial" w:cs="Arial"/>
          <w:sz w:val="24"/>
          <w:szCs w:val="24"/>
        </w:rPr>
        <w:t>Regulatory framework for Social Housing</w:t>
      </w:r>
      <w:r w:rsidR="005D2587" w:rsidRPr="00B21893">
        <w:rPr>
          <w:rFonts w:ascii="Arial" w:hAnsi="Arial" w:cs="Arial"/>
          <w:sz w:val="24"/>
          <w:szCs w:val="24"/>
        </w:rPr>
        <w:t xml:space="preserve"> - </w:t>
      </w:r>
      <w:r w:rsidRPr="00B21893">
        <w:rPr>
          <w:rFonts w:ascii="Arial" w:hAnsi="Arial" w:cs="Arial"/>
          <w:sz w:val="24"/>
          <w:szCs w:val="24"/>
        </w:rPr>
        <w:t>Tenancy Standards</w:t>
      </w:r>
      <w:r w:rsidR="00A72929" w:rsidRPr="00B21893">
        <w:rPr>
          <w:rFonts w:ascii="Arial" w:hAnsi="Arial" w:cs="Arial"/>
          <w:sz w:val="24"/>
          <w:szCs w:val="24"/>
        </w:rPr>
        <w:t>,</w:t>
      </w:r>
    </w:p>
    <w:p w14:paraId="4BE1B4B8" w14:textId="4695DA06" w:rsidR="0083468E" w:rsidRPr="00B21893" w:rsidRDefault="0083468E" w:rsidP="00B21893">
      <w:pPr>
        <w:numPr>
          <w:ilvl w:val="0"/>
          <w:numId w:val="36"/>
        </w:numPr>
        <w:spacing w:after="0"/>
        <w:jc w:val="both"/>
        <w:rPr>
          <w:rFonts w:ascii="Arial" w:hAnsi="Arial" w:cs="Arial"/>
          <w:sz w:val="24"/>
          <w:szCs w:val="24"/>
        </w:rPr>
      </w:pPr>
      <w:r w:rsidRPr="00B21893">
        <w:rPr>
          <w:rFonts w:ascii="Arial" w:hAnsi="Arial" w:cs="Arial"/>
          <w:sz w:val="24"/>
          <w:szCs w:val="24"/>
        </w:rPr>
        <w:t>Housing Act 1985 and 1996</w:t>
      </w:r>
      <w:r w:rsidR="00A72929" w:rsidRPr="00B21893">
        <w:rPr>
          <w:rFonts w:ascii="Arial" w:hAnsi="Arial" w:cs="Arial"/>
          <w:sz w:val="24"/>
          <w:szCs w:val="24"/>
        </w:rPr>
        <w:t>,</w:t>
      </w:r>
    </w:p>
    <w:p w14:paraId="2CDEE4FE" w14:textId="7DD9F024" w:rsidR="0083468E" w:rsidRPr="00B21893" w:rsidRDefault="0083468E" w:rsidP="00B21893">
      <w:pPr>
        <w:numPr>
          <w:ilvl w:val="0"/>
          <w:numId w:val="36"/>
        </w:numPr>
        <w:spacing w:after="0"/>
        <w:jc w:val="both"/>
        <w:rPr>
          <w:rFonts w:ascii="Arial" w:hAnsi="Arial" w:cs="Arial"/>
          <w:sz w:val="24"/>
          <w:szCs w:val="24"/>
        </w:rPr>
      </w:pPr>
      <w:r w:rsidRPr="00B21893">
        <w:rPr>
          <w:rFonts w:ascii="Arial" w:hAnsi="Arial" w:cs="Arial"/>
          <w:sz w:val="24"/>
          <w:szCs w:val="24"/>
        </w:rPr>
        <w:t>Equality Act 2010</w:t>
      </w:r>
      <w:r w:rsidR="00A72929" w:rsidRPr="00B21893">
        <w:rPr>
          <w:rFonts w:ascii="Arial" w:hAnsi="Arial" w:cs="Arial"/>
          <w:sz w:val="24"/>
          <w:szCs w:val="24"/>
        </w:rPr>
        <w:t>,</w:t>
      </w:r>
    </w:p>
    <w:p w14:paraId="7E03AF33" w14:textId="2CDE9EB9" w:rsidR="0083468E" w:rsidRPr="00B21893" w:rsidRDefault="0083468E" w:rsidP="00B21893">
      <w:pPr>
        <w:numPr>
          <w:ilvl w:val="0"/>
          <w:numId w:val="36"/>
        </w:numPr>
        <w:spacing w:after="0"/>
        <w:jc w:val="both"/>
        <w:rPr>
          <w:rFonts w:ascii="Arial" w:hAnsi="Arial" w:cs="Arial"/>
          <w:sz w:val="24"/>
          <w:szCs w:val="24"/>
        </w:rPr>
      </w:pPr>
      <w:r w:rsidRPr="00B21893">
        <w:rPr>
          <w:rFonts w:ascii="Arial" w:hAnsi="Arial" w:cs="Arial"/>
          <w:sz w:val="24"/>
          <w:szCs w:val="24"/>
        </w:rPr>
        <w:t>Localism Act 2011</w:t>
      </w:r>
      <w:r w:rsidR="00A72929" w:rsidRPr="00B21893">
        <w:rPr>
          <w:rFonts w:ascii="Arial" w:hAnsi="Arial" w:cs="Arial"/>
          <w:sz w:val="24"/>
          <w:szCs w:val="24"/>
        </w:rPr>
        <w:t>.</w:t>
      </w:r>
    </w:p>
    <w:p w14:paraId="188E3CC3" w14:textId="77777777" w:rsidR="005D2587" w:rsidRPr="00B21893" w:rsidRDefault="005D2587" w:rsidP="00823F43">
      <w:pPr>
        <w:spacing w:after="0"/>
        <w:ind w:left="720"/>
        <w:jc w:val="both"/>
        <w:rPr>
          <w:rFonts w:ascii="Arial" w:hAnsi="Arial" w:cs="Arial"/>
          <w:sz w:val="24"/>
          <w:szCs w:val="24"/>
        </w:rPr>
      </w:pPr>
    </w:p>
    <w:p w14:paraId="3A06EA7A" w14:textId="29C377A6" w:rsidR="0083468E" w:rsidRPr="00B21893" w:rsidRDefault="0083468E" w:rsidP="00823F4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t>Types of Tenancies</w:t>
      </w:r>
    </w:p>
    <w:p w14:paraId="365E21C3" w14:textId="3CB6E5A2" w:rsidR="0083468E" w:rsidRPr="00B21893" w:rsidRDefault="0083468E"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A brief description of the types of tenancies </w:t>
      </w:r>
      <w:r w:rsidR="00A72929" w:rsidRPr="00B21893">
        <w:rPr>
          <w:rFonts w:ascii="Arial" w:hAnsi="Arial" w:cs="Arial"/>
          <w:sz w:val="24"/>
          <w:szCs w:val="24"/>
        </w:rPr>
        <w:t>MDC</w:t>
      </w:r>
      <w:r w:rsidRPr="00B21893">
        <w:rPr>
          <w:rFonts w:ascii="Arial" w:hAnsi="Arial" w:cs="Arial"/>
          <w:sz w:val="24"/>
          <w:szCs w:val="24"/>
        </w:rPr>
        <w:t xml:space="preserve"> will grant is set out below:</w:t>
      </w:r>
    </w:p>
    <w:p w14:paraId="7F4D4F08" w14:textId="5EE0814F" w:rsidR="005D2587" w:rsidRPr="00B21893" w:rsidRDefault="005D2587" w:rsidP="00823F43">
      <w:pPr>
        <w:spacing w:after="0"/>
        <w:ind w:left="567" w:hanging="567"/>
        <w:jc w:val="both"/>
        <w:rPr>
          <w:rFonts w:ascii="Arial" w:hAnsi="Arial" w:cs="Arial"/>
          <w:sz w:val="24"/>
          <w:szCs w:val="24"/>
        </w:rPr>
      </w:pPr>
      <w:r w:rsidRPr="00B21893">
        <w:rPr>
          <w:rFonts w:ascii="Arial" w:hAnsi="Arial" w:cs="Arial"/>
          <w:sz w:val="24"/>
          <w:szCs w:val="24"/>
        </w:rPr>
        <w:t xml:space="preserve">   </w:t>
      </w:r>
    </w:p>
    <w:p w14:paraId="54420EB4" w14:textId="2EF6FD88" w:rsidR="0083468E" w:rsidRPr="00B21893" w:rsidRDefault="005D2587" w:rsidP="00823F43">
      <w:pPr>
        <w:tabs>
          <w:tab w:val="left" w:pos="567"/>
        </w:tabs>
        <w:spacing w:after="0"/>
        <w:jc w:val="both"/>
        <w:rPr>
          <w:rFonts w:ascii="Arial" w:hAnsi="Arial" w:cs="Arial"/>
          <w:b/>
          <w:bCs/>
          <w:sz w:val="24"/>
          <w:szCs w:val="24"/>
        </w:rPr>
      </w:pPr>
      <w:r w:rsidRPr="00B21893">
        <w:rPr>
          <w:rFonts w:ascii="Arial" w:hAnsi="Arial" w:cs="Arial"/>
          <w:b/>
          <w:bCs/>
          <w:sz w:val="24"/>
          <w:szCs w:val="24"/>
        </w:rPr>
        <w:t xml:space="preserve">         </w:t>
      </w:r>
      <w:r w:rsidR="00F41EF4" w:rsidRPr="00B21893">
        <w:rPr>
          <w:rFonts w:ascii="Arial" w:hAnsi="Arial" w:cs="Arial"/>
          <w:b/>
          <w:bCs/>
          <w:sz w:val="24"/>
          <w:szCs w:val="24"/>
        </w:rPr>
        <w:t>Introductory</w:t>
      </w:r>
      <w:r w:rsidR="0083468E" w:rsidRPr="00B21893">
        <w:rPr>
          <w:rFonts w:ascii="Arial" w:hAnsi="Arial" w:cs="Arial"/>
          <w:b/>
          <w:bCs/>
          <w:sz w:val="24"/>
          <w:szCs w:val="24"/>
        </w:rPr>
        <w:t xml:space="preserve"> Tenancy</w:t>
      </w:r>
    </w:p>
    <w:p w14:paraId="053AF991" w14:textId="07EF2666" w:rsidR="0083468E" w:rsidRPr="00B21893" w:rsidRDefault="0083468E"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A</w:t>
      </w:r>
      <w:r w:rsidR="00F41EF4" w:rsidRPr="00B21893">
        <w:rPr>
          <w:rFonts w:ascii="Arial" w:hAnsi="Arial" w:cs="Arial"/>
          <w:sz w:val="24"/>
          <w:szCs w:val="24"/>
        </w:rPr>
        <w:t>n Introductory</w:t>
      </w:r>
      <w:r w:rsidRPr="00B21893">
        <w:rPr>
          <w:rFonts w:ascii="Arial" w:hAnsi="Arial" w:cs="Arial"/>
          <w:sz w:val="24"/>
          <w:szCs w:val="24"/>
        </w:rPr>
        <w:t xml:space="preserve"> Tenancy is a type of a ‘trial’ tenancy. This tenancy has a </w:t>
      </w:r>
      <w:r w:rsidR="005D2587" w:rsidRPr="00B21893">
        <w:rPr>
          <w:rFonts w:ascii="Arial" w:hAnsi="Arial" w:cs="Arial"/>
          <w:sz w:val="24"/>
          <w:szCs w:val="24"/>
        </w:rPr>
        <w:t>probationary</w:t>
      </w:r>
      <w:r w:rsidRPr="00B21893">
        <w:rPr>
          <w:rFonts w:ascii="Arial" w:hAnsi="Arial" w:cs="Arial"/>
          <w:sz w:val="24"/>
          <w:szCs w:val="24"/>
        </w:rPr>
        <w:t xml:space="preserve"> period of 12 months, which can be extended by another 6 months (totalling 18 months). </w:t>
      </w:r>
      <w:r w:rsidR="003366EF" w:rsidRPr="00B21893">
        <w:rPr>
          <w:rFonts w:ascii="Arial" w:hAnsi="Arial" w:cs="Arial"/>
          <w:sz w:val="24"/>
          <w:szCs w:val="24"/>
        </w:rPr>
        <w:t>Introductory</w:t>
      </w:r>
      <w:r w:rsidRPr="00B21893">
        <w:rPr>
          <w:rFonts w:ascii="Arial" w:hAnsi="Arial" w:cs="Arial"/>
          <w:sz w:val="24"/>
          <w:szCs w:val="24"/>
        </w:rPr>
        <w:t xml:space="preserve"> tenancies have fewer rights than secure tenancies and are designed to enable social landlords to end these if the tenant breaches conditions of their tenancy during their first year </w:t>
      </w:r>
      <w:r w:rsidR="00A72929" w:rsidRPr="00B21893">
        <w:rPr>
          <w:rFonts w:ascii="Arial" w:hAnsi="Arial" w:cs="Arial"/>
          <w:sz w:val="24"/>
          <w:szCs w:val="24"/>
        </w:rPr>
        <w:t xml:space="preserve">(or up to eighteen months where the initial period has been extended) </w:t>
      </w:r>
      <w:r w:rsidRPr="00B21893">
        <w:rPr>
          <w:rFonts w:ascii="Arial" w:hAnsi="Arial" w:cs="Arial"/>
          <w:sz w:val="24"/>
          <w:szCs w:val="24"/>
        </w:rPr>
        <w:t>of being a tenant.</w:t>
      </w:r>
    </w:p>
    <w:p w14:paraId="4A7467B0" w14:textId="77777777" w:rsidR="005D2587" w:rsidRPr="00B21893" w:rsidRDefault="005D2587" w:rsidP="00823F43">
      <w:pPr>
        <w:pStyle w:val="ListParagraph"/>
        <w:spacing w:line="276" w:lineRule="auto"/>
        <w:ind w:left="567"/>
        <w:jc w:val="both"/>
        <w:rPr>
          <w:rFonts w:ascii="Arial" w:hAnsi="Arial" w:cs="Arial"/>
          <w:sz w:val="24"/>
          <w:szCs w:val="24"/>
        </w:rPr>
      </w:pPr>
    </w:p>
    <w:p w14:paraId="4284F1EA" w14:textId="53CAB97C" w:rsidR="0083468E" w:rsidRPr="00B21893" w:rsidRDefault="00823F43" w:rsidP="00823F43">
      <w:pPr>
        <w:tabs>
          <w:tab w:val="left" w:pos="567"/>
        </w:tabs>
        <w:spacing w:after="0"/>
        <w:jc w:val="both"/>
        <w:rPr>
          <w:rFonts w:ascii="Arial" w:hAnsi="Arial" w:cs="Arial"/>
          <w:b/>
          <w:bCs/>
          <w:sz w:val="24"/>
          <w:szCs w:val="24"/>
        </w:rPr>
      </w:pPr>
      <w:r w:rsidRPr="00B21893">
        <w:rPr>
          <w:rFonts w:ascii="Arial" w:hAnsi="Arial" w:cs="Arial"/>
          <w:b/>
          <w:bCs/>
          <w:sz w:val="24"/>
          <w:szCs w:val="24"/>
        </w:rPr>
        <w:tab/>
      </w:r>
      <w:r w:rsidR="0083468E" w:rsidRPr="00B21893">
        <w:rPr>
          <w:rFonts w:ascii="Arial" w:hAnsi="Arial" w:cs="Arial"/>
          <w:b/>
          <w:bCs/>
          <w:sz w:val="24"/>
          <w:szCs w:val="24"/>
        </w:rPr>
        <w:t>Secure Tenancy</w:t>
      </w:r>
    </w:p>
    <w:p w14:paraId="0141675E" w14:textId="217061FA" w:rsidR="0083468E" w:rsidRPr="00B21893" w:rsidRDefault="0083468E"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A Secure Tenancy is where the </w:t>
      </w:r>
      <w:r w:rsidR="005D2587" w:rsidRPr="00B21893">
        <w:rPr>
          <w:rFonts w:ascii="Arial" w:hAnsi="Arial" w:cs="Arial"/>
          <w:sz w:val="24"/>
          <w:szCs w:val="24"/>
        </w:rPr>
        <w:t>tenant</w:t>
      </w:r>
      <w:r w:rsidRPr="00B21893">
        <w:rPr>
          <w:rFonts w:ascii="Arial" w:hAnsi="Arial" w:cs="Arial"/>
          <w:sz w:val="24"/>
          <w:szCs w:val="24"/>
        </w:rPr>
        <w:t xml:space="preserve"> can live in the property for the rest of their life, as long as they don’t break the terms of the tenancy. </w:t>
      </w:r>
      <w:r w:rsidR="00A72929" w:rsidRPr="00B21893">
        <w:rPr>
          <w:rFonts w:ascii="Arial" w:hAnsi="Arial" w:cs="Arial"/>
          <w:sz w:val="24"/>
          <w:szCs w:val="24"/>
        </w:rPr>
        <w:t>An</w:t>
      </w:r>
      <w:r w:rsidR="003754A2" w:rsidRPr="00B21893">
        <w:rPr>
          <w:rFonts w:ascii="Arial" w:hAnsi="Arial" w:cs="Arial"/>
          <w:sz w:val="24"/>
          <w:szCs w:val="24"/>
        </w:rPr>
        <w:t xml:space="preserve"> </w:t>
      </w:r>
      <w:r w:rsidR="00A72929" w:rsidRPr="00B21893">
        <w:rPr>
          <w:rFonts w:ascii="Arial" w:hAnsi="Arial" w:cs="Arial"/>
          <w:sz w:val="24"/>
          <w:szCs w:val="24"/>
        </w:rPr>
        <w:t xml:space="preserve">Introductory </w:t>
      </w:r>
      <w:r w:rsidRPr="00B21893">
        <w:rPr>
          <w:rFonts w:ascii="Arial" w:hAnsi="Arial" w:cs="Arial"/>
          <w:sz w:val="24"/>
          <w:szCs w:val="24"/>
        </w:rPr>
        <w:t>Tenancy</w:t>
      </w:r>
      <w:r w:rsidR="00A72929" w:rsidRPr="00B21893">
        <w:rPr>
          <w:rFonts w:ascii="Arial" w:hAnsi="Arial" w:cs="Arial"/>
          <w:sz w:val="24"/>
          <w:szCs w:val="24"/>
        </w:rPr>
        <w:t xml:space="preserve"> will automatically convert into a Secure Tenancy</w:t>
      </w:r>
      <w:r w:rsidRPr="00B21893">
        <w:rPr>
          <w:rFonts w:ascii="Arial" w:hAnsi="Arial" w:cs="Arial"/>
          <w:sz w:val="24"/>
          <w:szCs w:val="24"/>
        </w:rPr>
        <w:t xml:space="preserve">, </w:t>
      </w:r>
      <w:r w:rsidR="00A72929" w:rsidRPr="00B21893">
        <w:rPr>
          <w:rFonts w:ascii="Arial" w:hAnsi="Arial" w:cs="Arial"/>
          <w:sz w:val="24"/>
          <w:szCs w:val="24"/>
        </w:rPr>
        <w:t xml:space="preserve">so long as there have not been any breaches of the </w:t>
      </w:r>
      <w:r w:rsidRPr="00B21893">
        <w:rPr>
          <w:rFonts w:ascii="Arial" w:hAnsi="Arial" w:cs="Arial"/>
          <w:sz w:val="24"/>
          <w:szCs w:val="24"/>
        </w:rPr>
        <w:t>tenancy conditions</w:t>
      </w:r>
      <w:r w:rsidR="00A72929" w:rsidRPr="00B21893">
        <w:rPr>
          <w:rFonts w:ascii="Arial" w:hAnsi="Arial" w:cs="Arial"/>
          <w:sz w:val="24"/>
          <w:szCs w:val="24"/>
        </w:rPr>
        <w:t xml:space="preserve"> – more information is detailed at 5.6 – 5.7 below.</w:t>
      </w:r>
    </w:p>
    <w:p w14:paraId="0D437565" w14:textId="77777777" w:rsidR="003754A2" w:rsidRPr="00B21893" w:rsidRDefault="003754A2" w:rsidP="00823F43">
      <w:pPr>
        <w:pStyle w:val="ListParagraph"/>
        <w:spacing w:line="276" w:lineRule="auto"/>
        <w:ind w:left="567"/>
        <w:jc w:val="both"/>
        <w:rPr>
          <w:rFonts w:ascii="Arial" w:hAnsi="Arial" w:cs="Arial"/>
          <w:sz w:val="24"/>
          <w:szCs w:val="24"/>
        </w:rPr>
      </w:pPr>
    </w:p>
    <w:p w14:paraId="59AD0EC1" w14:textId="043461A4" w:rsidR="0083468E" w:rsidRPr="00B21893" w:rsidRDefault="003754A2" w:rsidP="00B21893">
      <w:pPr>
        <w:tabs>
          <w:tab w:val="left" w:pos="567"/>
        </w:tabs>
        <w:spacing w:after="0"/>
        <w:jc w:val="both"/>
        <w:rPr>
          <w:rFonts w:ascii="Arial" w:hAnsi="Arial" w:cs="Arial"/>
          <w:b/>
          <w:bCs/>
          <w:sz w:val="24"/>
          <w:szCs w:val="24"/>
        </w:rPr>
      </w:pPr>
      <w:r w:rsidRPr="00B21893">
        <w:rPr>
          <w:rFonts w:ascii="Arial" w:hAnsi="Arial" w:cs="Arial"/>
          <w:b/>
          <w:bCs/>
          <w:sz w:val="24"/>
          <w:szCs w:val="24"/>
        </w:rPr>
        <w:t xml:space="preserve">        </w:t>
      </w:r>
      <w:r w:rsidR="0083468E" w:rsidRPr="00B21893">
        <w:rPr>
          <w:rFonts w:ascii="Arial" w:hAnsi="Arial" w:cs="Arial"/>
          <w:b/>
          <w:bCs/>
          <w:sz w:val="24"/>
          <w:szCs w:val="24"/>
        </w:rPr>
        <w:t>Changes to Tenancies</w:t>
      </w:r>
    </w:p>
    <w:p w14:paraId="5F1BD97A" w14:textId="0290933E" w:rsidR="0083468E" w:rsidRPr="00B21893" w:rsidRDefault="0083468E" w:rsidP="00B2189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Tenancies can be changed in a several different ways, below is the information on how this can happen:</w:t>
      </w:r>
    </w:p>
    <w:p w14:paraId="5D1D046F" w14:textId="77777777" w:rsidR="00DD3335" w:rsidRPr="00B21893" w:rsidRDefault="00DD3335" w:rsidP="00823F43">
      <w:pPr>
        <w:spacing w:after="0"/>
        <w:ind w:left="567" w:hanging="567"/>
        <w:jc w:val="both"/>
        <w:rPr>
          <w:rFonts w:ascii="Arial" w:hAnsi="Arial" w:cs="Arial"/>
          <w:sz w:val="24"/>
          <w:szCs w:val="24"/>
        </w:rPr>
      </w:pPr>
    </w:p>
    <w:p w14:paraId="4A731594" w14:textId="2256FC41" w:rsidR="0083468E" w:rsidRPr="00B21893" w:rsidRDefault="003366EF" w:rsidP="00823F43">
      <w:pPr>
        <w:keepNext/>
        <w:keepLines/>
        <w:spacing w:after="0"/>
        <w:ind w:firstLine="567"/>
        <w:jc w:val="both"/>
        <w:rPr>
          <w:rFonts w:ascii="Arial" w:hAnsi="Arial" w:cs="Arial"/>
          <w:b/>
          <w:bCs/>
          <w:sz w:val="24"/>
          <w:szCs w:val="24"/>
        </w:rPr>
      </w:pPr>
      <w:r w:rsidRPr="00B21893">
        <w:rPr>
          <w:rFonts w:ascii="Arial" w:hAnsi="Arial" w:cs="Arial"/>
          <w:b/>
          <w:bCs/>
          <w:sz w:val="24"/>
          <w:szCs w:val="24"/>
        </w:rPr>
        <w:t>Introductory</w:t>
      </w:r>
      <w:r w:rsidR="0083468E" w:rsidRPr="00B21893">
        <w:rPr>
          <w:rFonts w:ascii="Arial" w:hAnsi="Arial" w:cs="Arial"/>
          <w:b/>
          <w:bCs/>
          <w:sz w:val="24"/>
          <w:szCs w:val="24"/>
        </w:rPr>
        <w:t xml:space="preserve"> tenancies converting to secure tenancies</w:t>
      </w:r>
    </w:p>
    <w:p w14:paraId="3C0FBD10" w14:textId="5D7C235D" w:rsidR="0083468E" w:rsidRPr="00B21893" w:rsidRDefault="0083468E" w:rsidP="00823F43">
      <w:pPr>
        <w:pStyle w:val="ListParagraph"/>
        <w:keepNext/>
        <w:keepLines/>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All new </w:t>
      </w:r>
      <w:r w:rsidR="003754A2" w:rsidRPr="00B21893">
        <w:rPr>
          <w:rFonts w:ascii="Arial" w:hAnsi="Arial" w:cs="Arial"/>
          <w:sz w:val="24"/>
          <w:szCs w:val="24"/>
        </w:rPr>
        <w:t>MDC</w:t>
      </w:r>
      <w:r w:rsidRPr="00B21893">
        <w:rPr>
          <w:rFonts w:ascii="Arial" w:hAnsi="Arial" w:cs="Arial"/>
          <w:sz w:val="24"/>
          <w:szCs w:val="24"/>
        </w:rPr>
        <w:t xml:space="preserve"> tenants will be offered a</w:t>
      </w:r>
      <w:r w:rsidR="003366EF" w:rsidRPr="00B21893">
        <w:rPr>
          <w:rFonts w:ascii="Arial" w:hAnsi="Arial" w:cs="Arial"/>
          <w:sz w:val="24"/>
          <w:szCs w:val="24"/>
        </w:rPr>
        <w:t>n Introductory</w:t>
      </w:r>
      <w:r w:rsidRPr="00B21893">
        <w:rPr>
          <w:rFonts w:ascii="Arial" w:hAnsi="Arial" w:cs="Arial"/>
          <w:sz w:val="24"/>
          <w:szCs w:val="24"/>
        </w:rPr>
        <w:t xml:space="preserve"> Tenancy. This will enable us to provide</w:t>
      </w:r>
      <w:r w:rsidR="00A72929" w:rsidRPr="00B21893">
        <w:rPr>
          <w:rFonts w:ascii="Arial" w:hAnsi="Arial" w:cs="Arial"/>
          <w:sz w:val="24"/>
          <w:szCs w:val="24"/>
        </w:rPr>
        <w:t>,</w:t>
      </w:r>
      <w:r w:rsidRPr="00B21893">
        <w:rPr>
          <w:rFonts w:ascii="Arial" w:hAnsi="Arial" w:cs="Arial"/>
          <w:sz w:val="24"/>
          <w:szCs w:val="24"/>
        </w:rPr>
        <w:t xml:space="preserve"> support and help </w:t>
      </w:r>
      <w:r w:rsidR="00A72929" w:rsidRPr="00B21893">
        <w:rPr>
          <w:rFonts w:ascii="Arial" w:hAnsi="Arial" w:cs="Arial"/>
          <w:sz w:val="24"/>
          <w:szCs w:val="24"/>
        </w:rPr>
        <w:t xml:space="preserve">residents </w:t>
      </w:r>
      <w:r w:rsidRPr="00B21893">
        <w:rPr>
          <w:rFonts w:ascii="Arial" w:hAnsi="Arial" w:cs="Arial"/>
          <w:sz w:val="24"/>
          <w:szCs w:val="24"/>
        </w:rPr>
        <w:t>with sustain</w:t>
      </w:r>
      <w:r w:rsidR="00A72929" w:rsidRPr="00B21893">
        <w:rPr>
          <w:rFonts w:ascii="Arial" w:hAnsi="Arial" w:cs="Arial"/>
          <w:sz w:val="24"/>
          <w:szCs w:val="24"/>
        </w:rPr>
        <w:t>ment from</w:t>
      </w:r>
      <w:r w:rsidRPr="00B21893">
        <w:rPr>
          <w:rFonts w:ascii="Arial" w:hAnsi="Arial" w:cs="Arial"/>
          <w:sz w:val="24"/>
          <w:szCs w:val="24"/>
        </w:rPr>
        <w:t xml:space="preserve"> the start of their tenancy. This will also enable us to deal with any breaches </w:t>
      </w:r>
      <w:r w:rsidR="00A72929" w:rsidRPr="00B21893">
        <w:rPr>
          <w:rFonts w:ascii="Arial" w:hAnsi="Arial" w:cs="Arial"/>
          <w:sz w:val="24"/>
          <w:szCs w:val="24"/>
        </w:rPr>
        <w:t>of</w:t>
      </w:r>
      <w:r w:rsidRPr="00B21893">
        <w:rPr>
          <w:rFonts w:ascii="Arial" w:hAnsi="Arial" w:cs="Arial"/>
          <w:sz w:val="24"/>
          <w:szCs w:val="24"/>
        </w:rPr>
        <w:t xml:space="preserve"> tenancy quickly, easily and protect other tenants</w:t>
      </w:r>
      <w:r w:rsidR="00A72929" w:rsidRPr="00B21893">
        <w:rPr>
          <w:rFonts w:ascii="Arial" w:hAnsi="Arial" w:cs="Arial"/>
          <w:sz w:val="24"/>
          <w:szCs w:val="24"/>
        </w:rPr>
        <w:t>, staff or contractors</w:t>
      </w:r>
      <w:r w:rsidRPr="00B21893">
        <w:rPr>
          <w:rFonts w:ascii="Arial" w:hAnsi="Arial" w:cs="Arial"/>
          <w:sz w:val="24"/>
          <w:szCs w:val="24"/>
        </w:rPr>
        <w:t xml:space="preserve"> and the local community.</w:t>
      </w:r>
    </w:p>
    <w:p w14:paraId="6F3A9C80" w14:textId="77777777" w:rsidR="003754A2" w:rsidRPr="00B21893" w:rsidRDefault="003754A2" w:rsidP="00823F43">
      <w:pPr>
        <w:spacing w:after="0"/>
        <w:jc w:val="both"/>
        <w:rPr>
          <w:rFonts w:ascii="Arial" w:hAnsi="Arial" w:cs="Arial"/>
          <w:sz w:val="24"/>
          <w:szCs w:val="24"/>
        </w:rPr>
      </w:pPr>
    </w:p>
    <w:p w14:paraId="42D4D0AD" w14:textId="13A1F792" w:rsidR="0083468E" w:rsidRPr="00B21893" w:rsidRDefault="003754A2" w:rsidP="00823F43">
      <w:pPr>
        <w:pStyle w:val="ListParagraph"/>
        <w:keepNext/>
        <w:keepLines/>
        <w:spacing w:line="276" w:lineRule="auto"/>
        <w:ind w:left="567"/>
        <w:jc w:val="both"/>
        <w:rPr>
          <w:rFonts w:ascii="Arial" w:hAnsi="Arial" w:cs="Arial"/>
          <w:sz w:val="24"/>
          <w:szCs w:val="24"/>
        </w:rPr>
      </w:pPr>
      <w:r w:rsidRPr="00B21893">
        <w:rPr>
          <w:rFonts w:ascii="Arial" w:hAnsi="Arial" w:cs="Arial"/>
          <w:sz w:val="24"/>
          <w:szCs w:val="24"/>
        </w:rPr>
        <w:lastRenderedPageBreak/>
        <w:t xml:space="preserve">NB: </w:t>
      </w:r>
      <w:r w:rsidR="0083468E" w:rsidRPr="00B21893">
        <w:rPr>
          <w:rFonts w:ascii="Arial" w:hAnsi="Arial" w:cs="Arial"/>
          <w:sz w:val="24"/>
          <w:szCs w:val="24"/>
        </w:rPr>
        <w:t xml:space="preserve"> ‘New tenant(s)’ are people who have received an offer of housing under Part VI of the Housing Act 1996 and are not already secure tenants of a Council elsewhere.</w:t>
      </w:r>
    </w:p>
    <w:p w14:paraId="246F128B" w14:textId="77777777" w:rsidR="003366EF" w:rsidRPr="00B21893" w:rsidRDefault="003366EF" w:rsidP="00823F43">
      <w:pPr>
        <w:pStyle w:val="ListParagraph"/>
        <w:keepNext/>
        <w:keepLines/>
        <w:spacing w:line="276" w:lineRule="auto"/>
        <w:ind w:left="567"/>
        <w:jc w:val="both"/>
        <w:rPr>
          <w:rFonts w:ascii="Arial" w:hAnsi="Arial" w:cs="Arial"/>
          <w:sz w:val="24"/>
          <w:szCs w:val="24"/>
        </w:rPr>
      </w:pPr>
    </w:p>
    <w:p w14:paraId="795649B9" w14:textId="7E6599F2" w:rsidR="0083468E" w:rsidRPr="00B21893" w:rsidRDefault="00823F43" w:rsidP="00823F43">
      <w:pPr>
        <w:pStyle w:val="ListParagraph"/>
        <w:keepNext/>
        <w:keepLines/>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A</w:t>
      </w:r>
      <w:r w:rsidR="0083468E" w:rsidRPr="00B21893">
        <w:rPr>
          <w:rFonts w:ascii="Arial" w:hAnsi="Arial" w:cs="Arial"/>
          <w:sz w:val="24"/>
          <w:szCs w:val="24"/>
        </w:rPr>
        <w:t xml:space="preserve">fter 12 months, </w:t>
      </w:r>
      <w:r w:rsidR="003366EF" w:rsidRPr="00B21893">
        <w:rPr>
          <w:rFonts w:ascii="Arial" w:hAnsi="Arial" w:cs="Arial"/>
          <w:sz w:val="24"/>
          <w:szCs w:val="24"/>
        </w:rPr>
        <w:t>Introductory</w:t>
      </w:r>
      <w:r w:rsidR="0083468E" w:rsidRPr="00B21893">
        <w:rPr>
          <w:rFonts w:ascii="Arial" w:hAnsi="Arial" w:cs="Arial"/>
          <w:sz w:val="24"/>
          <w:szCs w:val="24"/>
        </w:rPr>
        <w:t xml:space="preserve"> Tenancies will automatically convert to a Secure Tenancy unless:</w:t>
      </w:r>
    </w:p>
    <w:p w14:paraId="252FBBB2" w14:textId="77777777" w:rsidR="003754A2" w:rsidRPr="00B21893" w:rsidRDefault="003754A2" w:rsidP="00823F43">
      <w:pPr>
        <w:spacing w:after="0"/>
        <w:ind w:left="567" w:hanging="567"/>
        <w:jc w:val="both"/>
        <w:rPr>
          <w:rFonts w:ascii="Arial" w:hAnsi="Arial" w:cs="Arial"/>
          <w:sz w:val="24"/>
          <w:szCs w:val="24"/>
        </w:rPr>
      </w:pPr>
    </w:p>
    <w:p w14:paraId="7E5725FB" w14:textId="63619542" w:rsidR="0083468E" w:rsidRPr="00B21893" w:rsidRDefault="0083468E" w:rsidP="00B21893">
      <w:pPr>
        <w:numPr>
          <w:ilvl w:val="0"/>
          <w:numId w:val="36"/>
        </w:numPr>
        <w:spacing w:after="0"/>
        <w:jc w:val="both"/>
        <w:rPr>
          <w:rFonts w:ascii="Arial" w:hAnsi="Arial" w:cs="Arial"/>
          <w:sz w:val="24"/>
          <w:szCs w:val="24"/>
        </w:rPr>
      </w:pPr>
      <w:r w:rsidRPr="00B21893">
        <w:rPr>
          <w:rFonts w:ascii="Arial" w:hAnsi="Arial" w:cs="Arial"/>
          <w:sz w:val="24"/>
          <w:szCs w:val="24"/>
        </w:rPr>
        <w:t xml:space="preserve">A notice of seeking possession has been served or a section 128 </w:t>
      </w:r>
      <w:r w:rsidR="003754A2" w:rsidRPr="00B21893">
        <w:rPr>
          <w:rFonts w:ascii="Arial" w:hAnsi="Arial" w:cs="Arial"/>
          <w:sz w:val="24"/>
          <w:szCs w:val="24"/>
        </w:rPr>
        <w:t xml:space="preserve"> </w:t>
      </w:r>
      <w:r w:rsidRPr="00B21893">
        <w:rPr>
          <w:rFonts w:ascii="Arial" w:hAnsi="Arial" w:cs="Arial"/>
          <w:sz w:val="24"/>
          <w:szCs w:val="24"/>
        </w:rPr>
        <w:t>notice (notice of proceedings of possession)</w:t>
      </w:r>
      <w:r w:rsidR="001A5C32" w:rsidRPr="00B21893">
        <w:rPr>
          <w:rFonts w:ascii="Arial" w:hAnsi="Arial" w:cs="Arial"/>
          <w:sz w:val="24"/>
          <w:szCs w:val="24"/>
        </w:rPr>
        <w:t>,</w:t>
      </w:r>
    </w:p>
    <w:p w14:paraId="7058FE0D" w14:textId="1ACFE016" w:rsidR="0083468E" w:rsidRPr="00B21893" w:rsidRDefault="0083468E" w:rsidP="00B21893">
      <w:pPr>
        <w:numPr>
          <w:ilvl w:val="0"/>
          <w:numId w:val="36"/>
        </w:numPr>
        <w:spacing w:after="0"/>
        <w:jc w:val="both"/>
        <w:rPr>
          <w:rFonts w:ascii="Arial" w:hAnsi="Arial" w:cs="Arial"/>
          <w:sz w:val="24"/>
          <w:szCs w:val="24"/>
        </w:rPr>
      </w:pPr>
      <w:r w:rsidRPr="00B21893">
        <w:rPr>
          <w:rFonts w:ascii="Arial" w:hAnsi="Arial" w:cs="Arial"/>
          <w:sz w:val="24"/>
          <w:szCs w:val="24"/>
        </w:rPr>
        <w:t xml:space="preserve">A notice to extend the </w:t>
      </w:r>
      <w:r w:rsidR="003366EF" w:rsidRPr="00B21893">
        <w:rPr>
          <w:rFonts w:ascii="Arial" w:hAnsi="Arial" w:cs="Arial"/>
          <w:sz w:val="24"/>
          <w:szCs w:val="24"/>
        </w:rPr>
        <w:t>Intro</w:t>
      </w:r>
      <w:r w:rsidR="00B56FBC" w:rsidRPr="00B21893">
        <w:rPr>
          <w:rFonts w:ascii="Arial" w:hAnsi="Arial" w:cs="Arial"/>
          <w:sz w:val="24"/>
          <w:szCs w:val="24"/>
        </w:rPr>
        <w:t>ductory</w:t>
      </w:r>
      <w:r w:rsidRPr="00B21893">
        <w:rPr>
          <w:rFonts w:ascii="Arial" w:hAnsi="Arial" w:cs="Arial"/>
          <w:sz w:val="24"/>
          <w:szCs w:val="24"/>
        </w:rPr>
        <w:t xml:space="preserve"> Tenancy by a further six months has been served. The </w:t>
      </w:r>
      <w:r w:rsidR="00B56FBC" w:rsidRPr="00B21893">
        <w:rPr>
          <w:rFonts w:ascii="Arial" w:hAnsi="Arial" w:cs="Arial"/>
          <w:sz w:val="24"/>
          <w:szCs w:val="24"/>
        </w:rPr>
        <w:t>Introductory</w:t>
      </w:r>
      <w:r w:rsidRPr="00B21893">
        <w:rPr>
          <w:rFonts w:ascii="Arial" w:hAnsi="Arial" w:cs="Arial"/>
          <w:sz w:val="24"/>
          <w:szCs w:val="24"/>
        </w:rPr>
        <w:t xml:space="preserve"> Tenancy can only be extended once.</w:t>
      </w:r>
    </w:p>
    <w:p w14:paraId="49DD5390" w14:textId="77777777" w:rsidR="003754A2" w:rsidRPr="00B21893" w:rsidRDefault="003754A2" w:rsidP="00823F43">
      <w:pPr>
        <w:spacing w:after="0"/>
        <w:ind w:left="1418"/>
        <w:jc w:val="both"/>
        <w:rPr>
          <w:rFonts w:ascii="Arial" w:hAnsi="Arial" w:cs="Arial"/>
          <w:sz w:val="24"/>
          <w:szCs w:val="24"/>
        </w:rPr>
      </w:pPr>
    </w:p>
    <w:p w14:paraId="211719E8" w14:textId="3A3E809F" w:rsidR="0083468E" w:rsidRPr="00B21893" w:rsidRDefault="0083468E" w:rsidP="00823F43">
      <w:pPr>
        <w:pStyle w:val="ListParagraph"/>
        <w:keepNext/>
        <w:keepLines/>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In cases where a decision is made to serve a notice to terminate a tenancy (where courts can grant mandatory possession) or issue a notice to extend an </w:t>
      </w:r>
      <w:r w:rsidR="00B56FBC" w:rsidRPr="00B21893">
        <w:rPr>
          <w:rFonts w:ascii="Arial" w:hAnsi="Arial" w:cs="Arial"/>
          <w:sz w:val="24"/>
          <w:szCs w:val="24"/>
        </w:rPr>
        <w:t>Introductory</w:t>
      </w:r>
      <w:r w:rsidRPr="00B21893">
        <w:rPr>
          <w:rFonts w:ascii="Arial" w:hAnsi="Arial" w:cs="Arial"/>
          <w:sz w:val="24"/>
          <w:szCs w:val="24"/>
        </w:rPr>
        <w:t xml:space="preserve"> Tenancy, the tenant will be offered the right to request a review of the decision, under s128 (notice) s125B (extension) of the Housing Act 1996.</w:t>
      </w:r>
    </w:p>
    <w:p w14:paraId="2D655CE7" w14:textId="77777777" w:rsidR="003754A2" w:rsidRPr="00B21893" w:rsidRDefault="003754A2" w:rsidP="00823F43">
      <w:pPr>
        <w:spacing w:after="0"/>
        <w:ind w:left="567" w:hanging="567"/>
        <w:jc w:val="both"/>
        <w:rPr>
          <w:rFonts w:ascii="Arial" w:hAnsi="Arial" w:cs="Arial"/>
          <w:sz w:val="24"/>
          <w:szCs w:val="24"/>
        </w:rPr>
      </w:pPr>
    </w:p>
    <w:p w14:paraId="0E49A364" w14:textId="7E18016E" w:rsidR="0083468E" w:rsidRPr="00B21893" w:rsidRDefault="0083468E" w:rsidP="00823F43">
      <w:pPr>
        <w:spacing w:after="0"/>
        <w:ind w:firstLine="567"/>
        <w:jc w:val="both"/>
        <w:rPr>
          <w:rFonts w:ascii="Arial" w:hAnsi="Arial" w:cs="Arial"/>
          <w:b/>
          <w:bCs/>
          <w:sz w:val="24"/>
          <w:szCs w:val="24"/>
        </w:rPr>
      </w:pPr>
      <w:r w:rsidRPr="00B21893">
        <w:rPr>
          <w:rFonts w:ascii="Arial" w:hAnsi="Arial" w:cs="Arial"/>
          <w:b/>
          <w:bCs/>
          <w:sz w:val="24"/>
          <w:szCs w:val="24"/>
        </w:rPr>
        <w:t>Demoted Tenancy</w:t>
      </w:r>
    </w:p>
    <w:p w14:paraId="018D5E1B" w14:textId="50C72BF2" w:rsidR="000F6279" w:rsidRPr="00B21893" w:rsidRDefault="000F6279"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Demoted tenancies allow </w:t>
      </w:r>
      <w:r w:rsidR="001A5C32" w:rsidRPr="00B21893">
        <w:rPr>
          <w:rFonts w:ascii="Arial" w:hAnsi="Arial" w:cs="Arial"/>
          <w:sz w:val="24"/>
          <w:szCs w:val="24"/>
        </w:rPr>
        <w:t>MDC</w:t>
      </w:r>
      <w:r w:rsidRPr="00B21893">
        <w:rPr>
          <w:rFonts w:ascii="Arial" w:hAnsi="Arial" w:cs="Arial"/>
          <w:sz w:val="24"/>
          <w:szCs w:val="24"/>
        </w:rPr>
        <w:t xml:space="preserve"> to apply to court for a demotion order to reduce the security of tenure for an existing </w:t>
      </w:r>
      <w:r w:rsidR="001A5C32" w:rsidRPr="00B21893">
        <w:rPr>
          <w:rFonts w:ascii="Arial" w:hAnsi="Arial" w:cs="Arial"/>
          <w:sz w:val="24"/>
          <w:szCs w:val="24"/>
        </w:rPr>
        <w:t xml:space="preserve">Secure </w:t>
      </w:r>
      <w:r w:rsidRPr="00B21893">
        <w:rPr>
          <w:rFonts w:ascii="Arial" w:hAnsi="Arial" w:cs="Arial"/>
          <w:sz w:val="24"/>
          <w:szCs w:val="24"/>
        </w:rPr>
        <w:t xml:space="preserve">tenant </w:t>
      </w:r>
      <w:r w:rsidR="001A5C32" w:rsidRPr="00B21893">
        <w:rPr>
          <w:rFonts w:ascii="Arial" w:hAnsi="Arial" w:cs="Arial"/>
          <w:sz w:val="24"/>
          <w:szCs w:val="24"/>
        </w:rPr>
        <w:t xml:space="preserve">due to their behaviour, or the behaviour of a household member or </w:t>
      </w:r>
      <w:r w:rsidRPr="00B21893">
        <w:rPr>
          <w:rFonts w:ascii="Arial" w:hAnsi="Arial" w:cs="Arial"/>
          <w:sz w:val="24"/>
          <w:szCs w:val="24"/>
        </w:rPr>
        <w:t xml:space="preserve">visitor to their home </w:t>
      </w:r>
      <w:r w:rsidR="001A5C32" w:rsidRPr="00B21893">
        <w:rPr>
          <w:rFonts w:ascii="Arial" w:hAnsi="Arial" w:cs="Arial"/>
          <w:sz w:val="24"/>
          <w:szCs w:val="24"/>
        </w:rPr>
        <w:t xml:space="preserve">who </w:t>
      </w:r>
      <w:r w:rsidRPr="00B21893">
        <w:rPr>
          <w:rFonts w:ascii="Arial" w:hAnsi="Arial" w:cs="Arial"/>
          <w:sz w:val="24"/>
          <w:szCs w:val="24"/>
        </w:rPr>
        <w:t xml:space="preserve">has </w:t>
      </w:r>
      <w:r w:rsidR="001A5C32" w:rsidRPr="00B21893">
        <w:rPr>
          <w:rFonts w:ascii="Arial" w:hAnsi="Arial" w:cs="Arial"/>
          <w:sz w:val="24"/>
          <w:szCs w:val="24"/>
        </w:rPr>
        <w:t>caused a nuisance or annoyance due to anti social behaviour</w:t>
      </w:r>
      <w:r w:rsidRPr="00B21893">
        <w:rPr>
          <w:rFonts w:ascii="Arial" w:hAnsi="Arial" w:cs="Arial"/>
          <w:sz w:val="24"/>
          <w:szCs w:val="24"/>
        </w:rPr>
        <w:t>.</w:t>
      </w:r>
      <w:r w:rsidR="001A5C32" w:rsidRPr="00B21893">
        <w:rPr>
          <w:rFonts w:ascii="Arial" w:hAnsi="Arial" w:cs="Arial"/>
          <w:sz w:val="24"/>
          <w:szCs w:val="24"/>
        </w:rPr>
        <w:t xml:space="preserve"> A demotion order is usually in place for 12 months, but can be extended for to 18 months.</w:t>
      </w:r>
    </w:p>
    <w:p w14:paraId="2408DD69" w14:textId="77777777" w:rsidR="000F6279" w:rsidRPr="00B21893" w:rsidRDefault="000F6279" w:rsidP="00823F43">
      <w:pPr>
        <w:pStyle w:val="ListParagraph"/>
        <w:spacing w:line="276" w:lineRule="auto"/>
        <w:ind w:left="567"/>
        <w:jc w:val="both"/>
        <w:rPr>
          <w:rFonts w:ascii="Arial" w:hAnsi="Arial" w:cs="Arial"/>
          <w:sz w:val="24"/>
          <w:szCs w:val="24"/>
        </w:rPr>
      </w:pPr>
    </w:p>
    <w:p w14:paraId="7DD3793B" w14:textId="03EDD46F" w:rsidR="000F6279" w:rsidRPr="00B21893" w:rsidRDefault="000F6279"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The Demotion Order provides a serious warning to the tenant, with the ultimate sanction of swift action to evict if necessary. It also removes a number of tenancy rights, but for this to work promoting these loses in security is necessary. If they stop causing problems, they can regain a higher level of security and rights</w:t>
      </w:r>
      <w:r w:rsidR="001A5C32" w:rsidRPr="00B21893">
        <w:rPr>
          <w:rFonts w:ascii="Arial" w:hAnsi="Arial" w:cs="Arial"/>
          <w:sz w:val="24"/>
          <w:szCs w:val="24"/>
        </w:rPr>
        <w:t xml:space="preserve"> after the probationary period</w:t>
      </w:r>
      <w:r w:rsidRPr="00B21893">
        <w:rPr>
          <w:rFonts w:ascii="Arial" w:hAnsi="Arial" w:cs="Arial"/>
          <w:sz w:val="24"/>
          <w:szCs w:val="24"/>
        </w:rPr>
        <w:t>. The scheme provides a clear link to a balance of rights and responsibilities.</w:t>
      </w:r>
    </w:p>
    <w:p w14:paraId="34DED7B0" w14:textId="77777777" w:rsidR="000F6279" w:rsidRPr="00B21893" w:rsidRDefault="000F6279" w:rsidP="00823F43">
      <w:pPr>
        <w:pStyle w:val="ListParagraph"/>
        <w:spacing w:line="276" w:lineRule="auto"/>
        <w:ind w:left="567"/>
        <w:jc w:val="both"/>
        <w:rPr>
          <w:rFonts w:ascii="Arial" w:hAnsi="Arial" w:cs="Arial"/>
          <w:sz w:val="24"/>
          <w:szCs w:val="24"/>
        </w:rPr>
      </w:pPr>
    </w:p>
    <w:p w14:paraId="023CBE82" w14:textId="568EB371" w:rsidR="00823F43" w:rsidRPr="00B21893" w:rsidRDefault="001A5C32" w:rsidP="00DA1F15">
      <w:pPr>
        <w:pStyle w:val="ListParagraph"/>
        <w:numPr>
          <w:ilvl w:val="1"/>
          <w:numId w:val="39"/>
        </w:numPr>
        <w:spacing w:line="276" w:lineRule="auto"/>
        <w:ind w:left="567" w:hanging="567"/>
        <w:jc w:val="both"/>
        <w:rPr>
          <w:rFonts w:ascii="Arial" w:hAnsi="Arial" w:cs="Arial"/>
        </w:rPr>
      </w:pPr>
      <w:r w:rsidRPr="00B21893">
        <w:rPr>
          <w:rFonts w:ascii="Arial" w:hAnsi="Arial" w:cs="Arial"/>
          <w:sz w:val="24"/>
          <w:szCs w:val="24"/>
        </w:rPr>
        <w:t xml:space="preserve">MDC </w:t>
      </w:r>
      <w:r w:rsidR="000F6279" w:rsidRPr="00B21893">
        <w:rPr>
          <w:rFonts w:ascii="Arial" w:hAnsi="Arial" w:cs="Arial"/>
          <w:sz w:val="24"/>
          <w:szCs w:val="24"/>
        </w:rPr>
        <w:t>sees demoted tenancies as another positive tool that will enable us to deal effectively with incidents of anti social behaviour in a more targeted and supportive way</w:t>
      </w:r>
      <w:r w:rsidRPr="00B21893">
        <w:rPr>
          <w:rFonts w:ascii="Arial" w:hAnsi="Arial" w:cs="Arial"/>
          <w:sz w:val="24"/>
          <w:szCs w:val="24"/>
        </w:rPr>
        <w:t>,</w:t>
      </w:r>
      <w:r w:rsidR="000F6279" w:rsidRPr="00B21893">
        <w:rPr>
          <w:rFonts w:ascii="Arial" w:hAnsi="Arial" w:cs="Arial"/>
          <w:sz w:val="24"/>
          <w:szCs w:val="24"/>
        </w:rPr>
        <w:t xml:space="preserve"> and we will use the orders as part of our overall approach to dealing with anti social behaviour</w:t>
      </w:r>
      <w:r w:rsidRPr="00B21893">
        <w:rPr>
          <w:rFonts w:ascii="Arial" w:hAnsi="Arial" w:cs="Arial"/>
          <w:sz w:val="24"/>
          <w:szCs w:val="24"/>
        </w:rPr>
        <w:t>.</w:t>
      </w:r>
    </w:p>
    <w:p w14:paraId="4203054D" w14:textId="3B86E7DE" w:rsidR="000F6279" w:rsidRPr="00B21893" w:rsidRDefault="000F6279" w:rsidP="00823F43">
      <w:pPr>
        <w:spacing w:after="0"/>
        <w:ind w:left="567" w:hanging="567"/>
        <w:jc w:val="both"/>
        <w:rPr>
          <w:rFonts w:ascii="Arial" w:hAnsi="Arial" w:cs="Arial"/>
          <w:sz w:val="24"/>
          <w:szCs w:val="24"/>
        </w:rPr>
      </w:pPr>
    </w:p>
    <w:p w14:paraId="01311AA7" w14:textId="1F60C53D" w:rsidR="000F6279" w:rsidRPr="00B21893" w:rsidRDefault="0083468E" w:rsidP="00823F4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t>Sustaining Tenancies</w:t>
      </w:r>
    </w:p>
    <w:p w14:paraId="29E0A36E" w14:textId="417A061E" w:rsidR="000A5AD7" w:rsidRPr="00B21893" w:rsidRDefault="001A5C32"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MDC</w:t>
      </w:r>
      <w:r w:rsidR="000A5AD7" w:rsidRPr="00B21893">
        <w:rPr>
          <w:rFonts w:ascii="Arial" w:hAnsi="Arial" w:cs="Arial"/>
          <w:sz w:val="24"/>
          <w:szCs w:val="24"/>
        </w:rPr>
        <w:t xml:space="preserve"> is committed to helping tenants to maintain their tenancy and offers a variety of ways to support tenants in sustaining their tenancy. These are illustrated below.</w:t>
      </w:r>
    </w:p>
    <w:p w14:paraId="29EA6E4E" w14:textId="77777777" w:rsidR="000A5AD7" w:rsidRPr="00B21893" w:rsidRDefault="000A5AD7" w:rsidP="00823F43">
      <w:pPr>
        <w:tabs>
          <w:tab w:val="left" w:pos="567"/>
        </w:tabs>
        <w:spacing w:after="0"/>
        <w:ind w:left="567" w:hanging="567"/>
        <w:jc w:val="both"/>
        <w:rPr>
          <w:rFonts w:ascii="Arial" w:hAnsi="Arial" w:cs="Arial"/>
          <w:sz w:val="24"/>
          <w:szCs w:val="24"/>
        </w:rPr>
      </w:pPr>
    </w:p>
    <w:p w14:paraId="24F11955" w14:textId="1CE9FFFF" w:rsidR="000A5AD7" w:rsidRPr="00B21893" w:rsidRDefault="000A5AD7" w:rsidP="00823F43">
      <w:pPr>
        <w:tabs>
          <w:tab w:val="left" w:pos="567"/>
        </w:tabs>
        <w:spacing w:after="0"/>
        <w:jc w:val="both"/>
        <w:rPr>
          <w:rFonts w:ascii="Arial" w:hAnsi="Arial" w:cs="Arial"/>
          <w:b/>
          <w:bCs/>
          <w:sz w:val="24"/>
          <w:szCs w:val="24"/>
        </w:rPr>
      </w:pPr>
      <w:r w:rsidRPr="00B21893">
        <w:rPr>
          <w:rFonts w:ascii="Arial" w:hAnsi="Arial" w:cs="Arial"/>
          <w:sz w:val="24"/>
          <w:szCs w:val="24"/>
        </w:rPr>
        <w:t xml:space="preserve">        </w:t>
      </w:r>
      <w:r w:rsidRPr="00B21893">
        <w:rPr>
          <w:rFonts w:ascii="Arial" w:hAnsi="Arial" w:cs="Arial"/>
          <w:b/>
          <w:bCs/>
          <w:sz w:val="24"/>
          <w:szCs w:val="24"/>
        </w:rPr>
        <w:t>New Tenants</w:t>
      </w:r>
    </w:p>
    <w:p w14:paraId="5065A114" w14:textId="645FB645" w:rsidR="000A5AD7" w:rsidRPr="00B21893" w:rsidRDefault="000A5AD7"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MDC will carry out an in depth sign up interview with all new tenants to:</w:t>
      </w:r>
    </w:p>
    <w:p w14:paraId="65E155E1" w14:textId="014977E8" w:rsidR="000A5AD7" w:rsidRPr="00B21893" w:rsidRDefault="000A5AD7" w:rsidP="00B21893">
      <w:pPr>
        <w:numPr>
          <w:ilvl w:val="0"/>
          <w:numId w:val="36"/>
        </w:numPr>
        <w:spacing w:after="0"/>
        <w:jc w:val="both"/>
        <w:rPr>
          <w:rFonts w:ascii="Arial" w:hAnsi="Arial" w:cs="Arial"/>
          <w:sz w:val="24"/>
          <w:szCs w:val="24"/>
        </w:rPr>
      </w:pPr>
      <w:r w:rsidRPr="00B21893">
        <w:rPr>
          <w:rFonts w:ascii="Arial" w:hAnsi="Arial" w:cs="Arial"/>
          <w:sz w:val="24"/>
          <w:szCs w:val="24"/>
        </w:rPr>
        <w:t>Ensure that the tenant understands the terms and conditions of the tenancy agreement</w:t>
      </w:r>
      <w:r w:rsidR="001A5C32" w:rsidRPr="00B21893">
        <w:rPr>
          <w:rFonts w:ascii="Arial" w:hAnsi="Arial" w:cs="Arial"/>
          <w:sz w:val="24"/>
          <w:szCs w:val="24"/>
        </w:rPr>
        <w:t>,</w:t>
      </w:r>
    </w:p>
    <w:p w14:paraId="10A87BDF" w14:textId="7A89ABEF" w:rsidR="000A5AD7" w:rsidRPr="00B21893" w:rsidRDefault="000A5AD7" w:rsidP="00B21893">
      <w:pPr>
        <w:numPr>
          <w:ilvl w:val="0"/>
          <w:numId w:val="36"/>
        </w:numPr>
        <w:spacing w:after="0"/>
        <w:jc w:val="both"/>
        <w:rPr>
          <w:rFonts w:ascii="Arial" w:hAnsi="Arial" w:cs="Arial"/>
          <w:sz w:val="24"/>
          <w:szCs w:val="24"/>
        </w:rPr>
      </w:pPr>
      <w:r w:rsidRPr="00B21893">
        <w:rPr>
          <w:rFonts w:ascii="Arial" w:hAnsi="Arial" w:cs="Arial"/>
          <w:sz w:val="24"/>
          <w:szCs w:val="24"/>
        </w:rPr>
        <w:t>Clarify methods and frequencies for paying their rent and accessing benefits</w:t>
      </w:r>
      <w:r w:rsidR="001A5C32" w:rsidRPr="00B21893">
        <w:rPr>
          <w:rFonts w:ascii="Arial" w:hAnsi="Arial" w:cs="Arial"/>
          <w:sz w:val="24"/>
          <w:szCs w:val="24"/>
        </w:rPr>
        <w:t>,</w:t>
      </w:r>
    </w:p>
    <w:p w14:paraId="2AA4D967" w14:textId="0E95F9EC" w:rsidR="000A5AD7" w:rsidRPr="00B21893" w:rsidRDefault="000A5AD7" w:rsidP="00B21893">
      <w:pPr>
        <w:numPr>
          <w:ilvl w:val="0"/>
          <w:numId w:val="36"/>
        </w:numPr>
        <w:spacing w:after="0"/>
        <w:jc w:val="both"/>
        <w:rPr>
          <w:rFonts w:ascii="Arial" w:hAnsi="Arial" w:cs="Arial"/>
          <w:sz w:val="24"/>
          <w:szCs w:val="24"/>
        </w:rPr>
      </w:pPr>
      <w:r w:rsidRPr="00B21893">
        <w:rPr>
          <w:rFonts w:ascii="Arial" w:hAnsi="Arial" w:cs="Arial"/>
          <w:sz w:val="24"/>
          <w:szCs w:val="24"/>
        </w:rPr>
        <w:t>Check to see if they have any particular support needs</w:t>
      </w:r>
      <w:r w:rsidR="001A5C32" w:rsidRPr="00B21893">
        <w:rPr>
          <w:rFonts w:ascii="Arial" w:hAnsi="Arial" w:cs="Arial"/>
          <w:sz w:val="24"/>
          <w:szCs w:val="24"/>
        </w:rPr>
        <w:t xml:space="preserve"> and identify how these may be met by either a referral </w:t>
      </w:r>
      <w:r w:rsidR="00726D30" w:rsidRPr="00B21893">
        <w:rPr>
          <w:rFonts w:ascii="Arial" w:hAnsi="Arial" w:cs="Arial"/>
          <w:sz w:val="24"/>
          <w:szCs w:val="24"/>
        </w:rPr>
        <w:t xml:space="preserve">to one of our internal support teams </w:t>
      </w:r>
      <w:r w:rsidR="001A5C32" w:rsidRPr="00B21893">
        <w:rPr>
          <w:rFonts w:ascii="Arial" w:hAnsi="Arial" w:cs="Arial"/>
          <w:sz w:val="24"/>
          <w:szCs w:val="24"/>
        </w:rPr>
        <w:t xml:space="preserve">or </w:t>
      </w:r>
      <w:r w:rsidR="00726D30" w:rsidRPr="00B21893">
        <w:rPr>
          <w:rFonts w:ascii="Arial" w:hAnsi="Arial" w:cs="Arial"/>
          <w:sz w:val="24"/>
          <w:szCs w:val="24"/>
        </w:rPr>
        <w:t xml:space="preserve">by </w:t>
      </w:r>
      <w:r w:rsidR="001A5C32" w:rsidRPr="00B21893">
        <w:rPr>
          <w:rFonts w:ascii="Arial" w:hAnsi="Arial" w:cs="Arial"/>
          <w:sz w:val="24"/>
          <w:szCs w:val="24"/>
        </w:rPr>
        <w:t>signposting to external agencies</w:t>
      </w:r>
      <w:r w:rsidRPr="00B21893">
        <w:rPr>
          <w:rFonts w:ascii="Arial" w:hAnsi="Arial" w:cs="Arial"/>
          <w:sz w:val="24"/>
          <w:szCs w:val="24"/>
        </w:rPr>
        <w:t>.</w:t>
      </w:r>
    </w:p>
    <w:p w14:paraId="11351186" w14:textId="77777777" w:rsidR="000A5AD7" w:rsidRPr="00B21893" w:rsidRDefault="000A5AD7" w:rsidP="00823F43">
      <w:pPr>
        <w:tabs>
          <w:tab w:val="left" w:pos="567"/>
        </w:tabs>
        <w:spacing w:after="0"/>
        <w:ind w:left="567" w:hanging="567"/>
        <w:jc w:val="both"/>
        <w:rPr>
          <w:rFonts w:ascii="Arial" w:hAnsi="Arial" w:cs="Arial"/>
          <w:sz w:val="24"/>
          <w:szCs w:val="24"/>
        </w:rPr>
      </w:pPr>
    </w:p>
    <w:p w14:paraId="3BEDF1A2" w14:textId="2AA188C2" w:rsidR="000A5AD7" w:rsidRPr="00B21893" w:rsidRDefault="000A5AD7"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MDC will also visit all new tenants 6 weeks after they move in</w:t>
      </w:r>
      <w:r w:rsidR="001A5C32" w:rsidRPr="00B21893">
        <w:rPr>
          <w:rFonts w:ascii="Arial" w:hAnsi="Arial" w:cs="Arial"/>
          <w:sz w:val="24"/>
          <w:szCs w:val="24"/>
        </w:rPr>
        <w:t xml:space="preserve"> -</w:t>
      </w:r>
      <w:r w:rsidRPr="00B21893">
        <w:rPr>
          <w:rFonts w:ascii="Arial" w:hAnsi="Arial" w:cs="Arial"/>
          <w:sz w:val="24"/>
          <w:szCs w:val="24"/>
        </w:rPr>
        <w:t xml:space="preserve"> to check that they are paying their rent regularly, whether they are receiving benefits</w:t>
      </w:r>
      <w:r w:rsidR="001A5C32" w:rsidRPr="00B21893">
        <w:rPr>
          <w:rFonts w:ascii="Arial" w:hAnsi="Arial" w:cs="Arial"/>
          <w:sz w:val="24"/>
          <w:szCs w:val="24"/>
        </w:rPr>
        <w:t xml:space="preserve"> (or require assistance with benefit claims)</w:t>
      </w:r>
      <w:r w:rsidRPr="00B21893">
        <w:rPr>
          <w:rFonts w:ascii="Arial" w:hAnsi="Arial" w:cs="Arial"/>
          <w:sz w:val="24"/>
          <w:szCs w:val="24"/>
        </w:rPr>
        <w:t>, and that they are keeping to the terms of their tenancy agreement.</w:t>
      </w:r>
    </w:p>
    <w:p w14:paraId="325BB748" w14:textId="77777777" w:rsidR="000A5AD7" w:rsidRPr="00B21893" w:rsidRDefault="000A5AD7" w:rsidP="00823F43">
      <w:pPr>
        <w:tabs>
          <w:tab w:val="left" w:pos="567"/>
        </w:tabs>
        <w:spacing w:after="0"/>
        <w:ind w:left="567" w:hanging="567"/>
        <w:jc w:val="both"/>
        <w:rPr>
          <w:rFonts w:ascii="Arial" w:hAnsi="Arial" w:cs="Arial"/>
          <w:sz w:val="24"/>
          <w:szCs w:val="24"/>
        </w:rPr>
      </w:pPr>
    </w:p>
    <w:p w14:paraId="0393206C" w14:textId="3CA89738" w:rsidR="000A5AD7" w:rsidRPr="00B21893" w:rsidRDefault="000A5AD7" w:rsidP="00823F43">
      <w:pPr>
        <w:tabs>
          <w:tab w:val="left" w:pos="567"/>
        </w:tabs>
        <w:spacing w:after="0"/>
        <w:ind w:left="567" w:hanging="567"/>
        <w:jc w:val="both"/>
        <w:rPr>
          <w:rFonts w:ascii="Arial" w:hAnsi="Arial" w:cs="Arial"/>
          <w:b/>
          <w:bCs/>
          <w:sz w:val="24"/>
          <w:szCs w:val="24"/>
        </w:rPr>
      </w:pPr>
      <w:r w:rsidRPr="00B21893">
        <w:rPr>
          <w:rFonts w:ascii="Arial" w:hAnsi="Arial" w:cs="Arial"/>
          <w:sz w:val="24"/>
          <w:szCs w:val="24"/>
        </w:rPr>
        <w:t xml:space="preserve">         </w:t>
      </w:r>
      <w:r w:rsidRPr="00B21893">
        <w:rPr>
          <w:rFonts w:ascii="Arial" w:hAnsi="Arial" w:cs="Arial"/>
          <w:b/>
          <w:bCs/>
          <w:sz w:val="24"/>
          <w:szCs w:val="24"/>
        </w:rPr>
        <w:t>Existing Tenants</w:t>
      </w:r>
    </w:p>
    <w:p w14:paraId="3E4F8BDA" w14:textId="120852E5" w:rsidR="000A5AD7" w:rsidRPr="00B21893" w:rsidRDefault="00823F43"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MDC</w:t>
      </w:r>
      <w:r w:rsidR="000A5AD7" w:rsidRPr="00B21893">
        <w:rPr>
          <w:rFonts w:ascii="Arial" w:hAnsi="Arial" w:cs="Arial"/>
          <w:sz w:val="24"/>
          <w:szCs w:val="24"/>
        </w:rPr>
        <w:t xml:space="preserve"> has a tenancy support service available for any tenant that needs additional support</w:t>
      </w:r>
      <w:r w:rsidR="00726D30" w:rsidRPr="00B21893">
        <w:rPr>
          <w:rFonts w:ascii="Arial" w:hAnsi="Arial" w:cs="Arial"/>
          <w:sz w:val="24"/>
          <w:szCs w:val="24"/>
        </w:rPr>
        <w:t xml:space="preserve"> -</w:t>
      </w:r>
      <w:r w:rsidR="000A5AD7" w:rsidRPr="00B21893">
        <w:rPr>
          <w:rFonts w:ascii="Arial" w:hAnsi="Arial" w:cs="Arial"/>
          <w:sz w:val="24"/>
          <w:szCs w:val="24"/>
        </w:rPr>
        <w:t xml:space="preserve"> in order to ensure that they are able to sustain their tenancies. To be eligible for support the tenant must fall into a certain category and must need help in one of the following areas:</w:t>
      </w:r>
    </w:p>
    <w:p w14:paraId="0CB50204" w14:textId="77777777" w:rsidR="000A5AD7" w:rsidRPr="00B21893" w:rsidRDefault="000A5AD7" w:rsidP="00823F43">
      <w:pPr>
        <w:tabs>
          <w:tab w:val="left" w:pos="567"/>
        </w:tabs>
        <w:spacing w:after="0"/>
        <w:ind w:left="567" w:hanging="567"/>
        <w:jc w:val="both"/>
        <w:rPr>
          <w:rFonts w:ascii="Arial" w:hAnsi="Arial" w:cs="Arial"/>
          <w:sz w:val="24"/>
          <w:szCs w:val="24"/>
        </w:rPr>
      </w:pPr>
    </w:p>
    <w:p w14:paraId="171B0270" w14:textId="72D3B18C" w:rsidR="000A5AD7" w:rsidRPr="00B21893" w:rsidRDefault="00205A54" w:rsidP="00B21893">
      <w:pPr>
        <w:numPr>
          <w:ilvl w:val="0"/>
          <w:numId w:val="36"/>
        </w:numPr>
        <w:spacing w:after="0"/>
        <w:jc w:val="both"/>
        <w:rPr>
          <w:rFonts w:ascii="Arial" w:hAnsi="Arial" w:cs="Arial"/>
          <w:sz w:val="24"/>
          <w:szCs w:val="24"/>
        </w:rPr>
      </w:pPr>
      <w:r w:rsidRPr="00B21893">
        <w:rPr>
          <w:rFonts w:ascii="Arial" w:hAnsi="Arial" w:cs="Arial"/>
          <w:sz w:val="24"/>
          <w:szCs w:val="24"/>
        </w:rPr>
        <w:t>M</w:t>
      </w:r>
      <w:r w:rsidR="000A5AD7" w:rsidRPr="00B21893">
        <w:rPr>
          <w:rFonts w:ascii="Arial" w:hAnsi="Arial" w:cs="Arial"/>
          <w:sz w:val="24"/>
          <w:szCs w:val="24"/>
        </w:rPr>
        <w:t>anaging money</w:t>
      </w:r>
      <w:r w:rsidR="001A5C32" w:rsidRPr="00B21893">
        <w:rPr>
          <w:rFonts w:ascii="Arial" w:hAnsi="Arial" w:cs="Arial"/>
          <w:sz w:val="24"/>
          <w:szCs w:val="24"/>
        </w:rPr>
        <w:t>,</w:t>
      </w:r>
    </w:p>
    <w:p w14:paraId="023931E5" w14:textId="3E4F3554" w:rsidR="000A5AD7" w:rsidRPr="00B21893" w:rsidRDefault="00205A54" w:rsidP="00B21893">
      <w:pPr>
        <w:numPr>
          <w:ilvl w:val="0"/>
          <w:numId w:val="36"/>
        </w:numPr>
        <w:spacing w:after="0"/>
        <w:jc w:val="both"/>
        <w:rPr>
          <w:rFonts w:ascii="Arial" w:hAnsi="Arial" w:cs="Arial"/>
          <w:sz w:val="24"/>
          <w:szCs w:val="24"/>
        </w:rPr>
      </w:pPr>
      <w:r w:rsidRPr="00B21893">
        <w:rPr>
          <w:rFonts w:ascii="Arial" w:hAnsi="Arial" w:cs="Arial"/>
          <w:sz w:val="24"/>
          <w:szCs w:val="24"/>
        </w:rPr>
        <w:t>Self-care</w:t>
      </w:r>
      <w:r w:rsidR="000A5AD7" w:rsidRPr="00B21893">
        <w:rPr>
          <w:rFonts w:ascii="Arial" w:hAnsi="Arial" w:cs="Arial"/>
          <w:sz w:val="24"/>
          <w:szCs w:val="24"/>
        </w:rPr>
        <w:t xml:space="preserve"> and living skills</w:t>
      </w:r>
      <w:r w:rsidR="001A5C32" w:rsidRPr="00B21893">
        <w:rPr>
          <w:rFonts w:ascii="Arial" w:hAnsi="Arial" w:cs="Arial"/>
          <w:sz w:val="24"/>
          <w:szCs w:val="24"/>
        </w:rPr>
        <w:t>,</w:t>
      </w:r>
    </w:p>
    <w:p w14:paraId="673BE24D" w14:textId="2D7768A5" w:rsidR="000A5AD7" w:rsidRPr="00B21893" w:rsidRDefault="00205A54" w:rsidP="00B21893">
      <w:pPr>
        <w:numPr>
          <w:ilvl w:val="0"/>
          <w:numId w:val="36"/>
        </w:numPr>
        <w:spacing w:after="0"/>
        <w:jc w:val="both"/>
        <w:rPr>
          <w:rFonts w:ascii="Arial" w:hAnsi="Arial" w:cs="Arial"/>
          <w:sz w:val="24"/>
          <w:szCs w:val="24"/>
        </w:rPr>
      </w:pPr>
      <w:r w:rsidRPr="00B21893">
        <w:rPr>
          <w:rFonts w:ascii="Arial" w:hAnsi="Arial" w:cs="Arial"/>
          <w:sz w:val="24"/>
          <w:szCs w:val="24"/>
        </w:rPr>
        <w:t>M</w:t>
      </w:r>
      <w:r w:rsidR="000A5AD7" w:rsidRPr="00B21893">
        <w:rPr>
          <w:rFonts w:ascii="Arial" w:hAnsi="Arial" w:cs="Arial"/>
          <w:sz w:val="24"/>
          <w:szCs w:val="24"/>
        </w:rPr>
        <w:t>anaging tenancy and accommodation</w:t>
      </w:r>
      <w:r w:rsidR="001A5C32" w:rsidRPr="00B21893">
        <w:rPr>
          <w:rFonts w:ascii="Arial" w:hAnsi="Arial" w:cs="Arial"/>
          <w:sz w:val="24"/>
          <w:szCs w:val="24"/>
        </w:rPr>
        <w:t>,</w:t>
      </w:r>
    </w:p>
    <w:p w14:paraId="7F658215" w14:textId="794691B6" w:rsidR="000A5AD7" w:rsidRPr="00B21893" w:rsidRDefault="00205A54" w:rsidP="00B21893">
      <w:pPr>
        <w:numPr>
          <w:ilvl w:val="0"/>
          <w:numId w:val="36"/>
        </w:numPr>
        <w:spacing w:after="0"/>
        <w:jc w:val="both"/>
        <w:rPr>
          <w:rFonts w:ascii="Arial" w:hAnsi="Arial" w:cs="Arial"/>
          <w:sz w:val="24"/>
          <w:szCs w:val="24"/>
        </w:rPr>
      </w:pPr>
      <w:r w:rsidRPr="00B21893">
        <w:rPr>
          <w:rFonts w:ascii="Arial" w:hAnsi="Arial" w:cs="Arial"/>
          <w:sz w:val="24"/>
          <w:szCs w:val="24"/>
        </w:rPr>
        <w:t>M</w:t>
      </w:r>
      <w:r w:rsidR="000A5AD7" w:rsidRPr="00B21893">
        <w:rPr>
          <w:rFonts w:ascii="Arial" w:hAnsi="Arial" w:cs="Arial"/>
          <w:sz w:val="24"/>
          <w:szCs w:val="24"/>
        </w:rPr>
        <w:t>otivating and taking responsibility</w:t>
      </w:r>
      <w:r w:rsidR="001A5C32" w:rsidRPr="00B21893">
        <w:rPr>
          <w:rFonts w:ascii="Arial" w:hAnsi="Arial" w:cs="Arial"/>
          <w:sz w:val="24"/>
          <w:szCs w:val="24"/>
        </w:rPr>
        <w:t>,</w:t>
      </w:r>
    </w:p>
    <w:p w14:paraId="743C55DD" w14:textId="7290AE2C" w:rsidR="000A5AD7" w:rsidRPr="00B21893" w:rsidRDefault="00205A54" w:rsidP="00B21893">
      <w:pPr>
        <w:numPr>
          <w:ilvl w:val="0"/>
          <w:numId w:val="36"/>
        </w:numPr>
        <w:spacing w:after="0"/>
        <w:jc w:val="both"/>
        <w:rPr>
          <w:rFonts w:ascii="Arial" w:hAnsi="Arial" w:cs="Arial"/>
          <w:sz w:val="24"/>
          <w:szCs w:val="24"/>
        </w:rPr>
      </w:pPr>
      <w:r w:rsidRPr="00B21893">
        <w:rPr>
          <w:rFonts w:ascii="Arial" w:hAnsi="Arial" w:cs="Arial"/>
          <w:sz w:val="24"/>
          <w:szCs w:val="24"/>
        </w:rPr>
        <w:t>S</w:t>
      </w:r>
      <w:r w:rsidR="000A5AD7" w:rsidRPr="00B21893">
        <w:rPr>
          <w:rFonts w:ascii="Arial" w:hAnsi="Arial" w:cs="Arial"/>
          <w:sz w:val="24"/>
          <w:szCs w:val="24"/>
        </w:rPr>
        <w:t>ocial networks and relationships</w:t>
      </w:r>
      <w:r w:rsidR="001A5C32" w:rsidRPr="00B21893">
        <w:rPr>
          <w:rFonts w:ascii="Arial" w:hAnsi="Arial" w:cs="Arial"/>
          <w:sz w:val="24"/>
          <w:szCs w:val="24"/>
        </w:rPr>
        <w:t>,</w:t>
      </w:r>
    </w:p>
    <w:p w14:paraId="49B6F167" w14:textId="6EE243D7" w:rsidR="000A5AD7" w:rsidRPr="00B21893" w:rsidRDefault="00205A54" w:rsidP="00B21893">
      <w:pPr>
        <w:numPr>
          <w:ilvl w:val="0"/>
          <w:numId w:val="36"/>
        </w:numPr>
        <w:spacing w:after="0"/>
        <w:jc w:val="both"/>
        <w:rPr>
          <w:rFonts w:ascii="Arial" w:hAnsi="Arial" w:cs="Arial"/>
          <w:sz w:val="24"/>
          <w:szCs w:val="24"/>
        </w:rPr>
      </w:pPr>
      <w:r w:rsidRPr="00B21893">
        <w:rPr>
          <w:rFonts w:ascii="Arial" w:hAnsi="Arial" w:cs="Arial"/>
          <w:sz w:val="24"/>
          <w:szCs w:val="24"/>
        </w:rPr>
        <w:t>P</w:t>
      </w:r>
      <w:r w:rsidR="000A5AD7" w:rsidRPr="00B21893">
        <w:rPr>
          <w:rFonts w:ascii="Arial" w:hAnsi="Arial" w:cs="Arial"/>
          <w:sz w:val="24"/>
          <w:szCs w:val="24"/>
        </w:rPr>
        <w:t>hysical health</w:t>
      </w:r>
      <w:r w:rsidR="001A5C32" w:rsidRPr="00B21893">
        <w:rPr>
          <w:rFonts w:ascii="Arial" w:hAnsi="Arial" w:cs="Arial"/>
          <w:sz w:val="24"/>
          <w:szCs w:val="24"/>
        </w:rPr>
        <w:t>,</w:t>
      </w:r>
    </w:p>
    <w:p w14:paraId="0A57C879" w14:textId="79518BA2" w:rsidR="000A5AD7" w:rsidRPr="00B21893" w:rsidRDefault="00205A54" w:rsidP="00B21893">
      <w:pPr>
        <w:numPr>
          <w:ilvl w:val="0"/>
          <w:numId w:val="36"/>
        </w:numPr>
        <w:spacing w:after="0"/>
        <w:jc w:val="both"/>
        <w:rPr>
          <w:rFonts w:ascii="Arial" w:hAnsi="Arial" w:cs="Arial"/>
          <w:sz w:val="24"/>
          <w:szCs w:val="24"/>
        </w:rPr>
      </w:pPr>
      <w:r w:rsidRPr="00B21893">
        <w:rPr>
          <w:rFonts w:ascii="Arial" w:hAnsi="Arial" w:cs="Arial"/>
          <w:sz w:val="24"/>
          <w:szCs w:val="24"/>
        </w:rPr>
        <w:t>E</w:t>
      </w:r>
      <w:r w:rsidR="000A5AD7" w:rsidRPr="00B21893">
        <w:rPr>
          <w:rFonts w:ascii="Arial" w:hAnsi="Arial" w:cs="Arial"/>
          <w:sz w:val="24"/>
          <w:szCs w:val="24"/>
        </w:rPr>
        <w:t>motional and mental health.</w:t>
      </w:r>
    </w:p>
    <w:p w14:paraId="309C64D0" w14:textId="2927E014" w:rsidR="000A5AD7" w:rsidRPr="00B21893" w:rsidRDefault="000A5AD7" w:rsidP="00B21893">
      <w:pPr>
        <w:tabs>
          <w:tab w:val="left" w:pos="567"/>
        </w:tabs>
        <w:spacing w:after="0"/>
        <w:jc w:val="both"/>
        <w:rPr>
          <w:rFonts w:ascii="Arial" w:hAnsi="Arial" w:cs="Arial"/>
          <w:b/>
          <w:bCs/>
          <w:sz w:val="24"/>
          <w:szCs w:val="24"/>
        </w:rPr>
      </w:pPr>
      <w:r w:rsidRPr="00B21893">
        <w:rPr>
          <w:rFonts w:ascii="Arial" w:hAnsi="Arial" w:cs="Arial"/>
          <w:sz w:val="24"/>
          <w:szCs w:val="24"/>
        </w:rPr>
        <w:t xml:space="preserve">      </w:t>
      </w:r>
    </w:p>
    <w:p w14:paraId="0BA9D195" w14:textId="2C83D5BD" w:rsidR="00AD2A97" w:rsidRPr="00B21893" w:rsidRDefault="00AD2A97"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The relevant categories are: </w:t>
      </w:r>
    </w:p>
    <w:p w14:paraId="58AB6D81" w14:textId="77777777" w:rsidR="00AD2A97" w:rsidRPr="00B21893" w:rsidRDefault="00AD2A97" w:rsidP="00B21893">
      <w:pPr>
        <w:pStyle w:val="ListParagraph"/>
        <w:spacing w:line="276" w:lineRule="auto"/>
        <w:ind w:left="567"/>
        <w:jc w:val="both"/>
        <w:rPr>
          <w:rFonts w:ascii="Arial" w:hAnsi="Arial" w:cs="Arial"/>
          <w:sz w:val="24"/>
          <w:szCs w:val="24"/>
        </w:rPr>
      </w:pPr>
    </w:p>
    <w:p w14:paraId="4394D065" w14:textId="257EA64E" w:rsidR="00AD2A97" w:rsidRPr="00B21893" w:rsidRDefault="00AD2A97" w:rsidP="00B21893">
      <w:pPr>
        <w:pStyle w:val="Heading5"/>
        <w:numPr>
          <w:ilvl w:val="1"/>
          <w:numId w:val="21"/>
        </w:numPr>
        <w:ind w:left="851" w:hanging="142"/>
        <w:rPr>
          <w:b w:val="0"/>
        </w:rPr>
      </w:pPr>
      <w:r w:rsidRPr="00B21893">
        <w:t xml:space="preserve">Underlying characteristic </w:t>
      </w:r>
    </w:p>
    <w:p w14:paraId="3F0B8710" w14:textId="77777777" w:rsidR="00AD2A97" w:rsidRPr="00B21893" w:rsidRDefault="00AD2A97" w:rsidP="00B21893">
      <w:pPr>
        <w:pStyle w:val="BodyText2"/>
        <w:ind w:left="720"/>
        <w:rPr>
          <w:rFonts w:ascii="Arial" w:hAnsi="Arial" w:cs="Arial"/>
          <w:sz w:val="24"/>
        </w:rPr>
      </w:pPr>
      <w:r w:rsidRPr="00B21893">
        <w:rPr>
          <w:rFonts w:ascii="Arial" w:hAnsi="Arial" w:cs="Arial"/>
          <w:sz w:val="24"/>
        </w:rPr>
        <w:t xml:space="preserve">(people in these groups may not always require additional support just because of the characteristic) </w:t>
      </w:r>
    </w:p>
    <w:p w14:paraId="38493885" w14:textId="77777777" w:rsidR="00AD2A97" w:rsidRPr="00B21893" w:rsidRDefault="00AD2A97" w:rsidP="00B21893">
      <w:pPr>
        <w:numPr>
          <w:ilvl w:val="0"/>
          <w:numId w:val="36"/>
        </w:numPr>
        <w:spacing w:after="0"/>
        <w:jc w:val="both"/>
        <w:rPr>
          <w:rFonts w:ascii="Arial" w:hAnsi="Arial" w:cs="Arial"/>
          <w:sz w:val="24"/>
          <w:szCs w:val="24"/>
        </w:rPr>
      </w:pPr>
      <w:r w:rsidRPr="00B21893">
        <w:rPr>
          <w:rFonts w:ascii="Arial" w:hAnsi="Arial" w:cs="Arial"/>
          <w:sz w:val="24"/>
          <w:szCs w:val="24"/>
        </w:rPr>
        <w:t xml:space="preserve">Older people (particularly those aged over 75) </w:t>
      </w:r>
    </w:p>
    <w:p w14:paraId="6C0A19A2" w14:textId="77777777" w:rsidR="00AD2A97" w:rsidRPr="00B21893" w:rsidRDefault="00AD2A97" w:rsidP="00B21893">
      <w:pPr>
        <w:numPr>
          <w:ilvl w:val="0"/>
          <w:numId w:val="36"/>
        </w:numPr>
        <w:spacing w:after="0"/>
        <w:jc w:val="both"/>
        <w:rPr>
          <w:rFonts w:ascii="Arial" w:hAnsi="Arial" w:cs="Arial"/>
          <w:sz w:val="24"/>
          <w:szCs w:val="24"/>
        </w:rPr>
      </w:pPr>
      <w:r w:rsidRPr="00B21893">
        <w:rPr>
          <w:rFonts w:ascii="Arial" w:hAnsi="Arial" w:cs="Arial"/>
          <w:sz w:val="24"/>
          <w:szCs w:val="24"/>
        </w:rPr>
        <w:t xml:space="preserve">Disabled people or families with a disabled child </w:t>
      </w:r>
    </w:p>
    <w:p w14:paraId="5A865B74" w14:textId="77777777" w:rsidR="00AD2A97" w:rsidRPr="00B21893" w:rsidRDefault="00AD2A97" w:rsidP="00B21893">
      <w:pPr>
        <w:numPr>
          <w:ilvl w:val="0"/>
          <w:numId w:val="36"/>
        </w:numPr>
        <w:spacing w:after="0"/>
        <w:jc w:val="both"/>
        <w:rPr>
          <w:rFonts w:ascii="Arial" w:hAnsi="Arial" w:cs="Arial"/>
          <w:sz w:val="24"/>
          <w:szCs w:val="24"/>
        </w:rPr>
      </w:pPr>
      <w:r w:rsidRPr="00B21893">
        <w:rPr>
          <w:rFonts w:ascii="Arial" w:hAnsi="Arial" w:cs="Arial"/>
          <w:sz w:val="24"/>
          <w:szCs w:val="24"/>
        </w:rPr>
        <w:t xml:space="preserve">Care leavers under the age of 25 </w:t>
      </w:r>
    </w:p>
    <w:p w14:paraId="6F6F57DD" w14:textId="77777777" w:rsidR="00AD2A97" w:rsidRPr="00B21893" w:rsidRDefault="00AD2A97" w:rsidP="00B21893">
      <w:pPr>
        <w:numPr>
          <w:ilvl w:val="0"/>
          <w:numId w:val="36"/>
        </w:numPr>
        <w:spacing w:after="0"/>
        <w:jc w:val="both"/>
        <w:rPr>
          <w:rFonts w:ascii="Arial" w:hAnsi="Arial" w:cs="Arial"/>
          <w:sz w:val="24"/>
          <w:szCs w:val="24"/>
        </w:rPr>
      </w:pPr>
      <w:r w:rsidRPr="00B21893">
        <w:rPr>
          <w:rFonts w:ascii="Arial" w:hAnsi="Arial" w:cs="Arial"/>
          <w:sz w:val="24"/>
          <w:szCs w:val="24"/>
        </w:rPr>
        <w:t xml:space="preserve">Lone parents (under 21) </w:t>
      </w:r>
    </w:p>
    <w:p w14:paraId="1D8ABA9D" w14:textId="1E7519AB" w:rsidR="00AD2A97" w:rsidRPr="00B21893" w:rsidRDefault="00AD2A97" w:rsidP="00B21893">
      <w:pPr>
        <w:numPr>
          <w:ilvl w:val="0"/>
          <w:numId w:val="36"/>
        </w:numPr>
        <w:spacing w:after="0"/>
        <w:jc w:val="both"/>
        <w:rPr>
          <w:rFonts w:ascii="Arial" w:hAnsi="Arial" w:cs="Arial"/>
          <w:sz w:val="24"/>
          <w:szCs w:val="24"/>
        </w:rPr>
      </w:pPr>
      <w:r w:rsidRPr="00B21893">
        <w:rPr>
          <w:rFonts w:ascii="Arial" w:hAnsi="Arial" w:cs="Arial"/>
          <w:sz w:val="24"/>
          <w:szCs w:val="24"/>
        </w:rPr>
        <w:t>People who are living with a terminal illness</w:t>
      </w:r>
    </w:p>
    <w:p w14:paraId="075D508A" w14:textId="35931364" w:rsidR="00DA1F15" w:rsidRPr="00B21893" w:rsidRDefault="00DA1F15" w:rsidP="00B21893">
      <w:pPr>
        <w:spacing w:after="0" w:line="240" w:lineRule="auto"/>
        <w:rPr>
          <w:rFonts w:ascii="Arial" w:hAnsi="Arial" w:cs="Arial"/>
          <w:sz w:val="24"/>
        </w:rPr>
      </w:pPr>
    </w:p>
    <w:p w14:paraId="0971CCEB" w14:textId="77777777" w:rsidR="00DA1F15" w:rsidRPr="00B21893" w:rsidRDefault="00DA1F15" w:rsidP="00B21893">
      <w:pPr>
        <w:pStyle w:val="Heading5"/>
        <w:numPr>
          <w:ilvl w:val="1"/>
          <w:numId w:val="21"/>
        </w:numPr>
        <w:ind w:left="851" w:hanging="142"/>
      </w:pPr>
      <w:r w:rsidRPr="00B21893">
        <w:lastRenderedPageBreak/>
        <w:t>Ability to act, engage or cope</w:t>
      </w:r>
    </w:p>
    <w:p w14:paraId="480F530F" w14:textId="0AF58EBE" w:rsidR="00DA1F15" w:rsidRPr="00B21893" w:rsidRDefault="00DA1F15" w:rsidP="00B21893">
      <w:pPr>
        <w:pStyle w:val="BodyText2"/>
        <w:ind w:left="720"/>
        <w:rPr>
          <w:rFonts w:ascii="Arial" w:hAnsi="Arial" w:cs="Arial"/>
          <w:sz w:val="24"/>
        </w:rPr>
      </w:pPr>
      <w:r w:rsidRPr="00B21893">
        <w:rPr>
          <w:rFonts w:ascii="Arial" w:hAnsi="Arial" w:cs="Arial"/>
          <w:sz w:val="24"/>
        </w:rPr>
        <w:t>(people may lack ability because of having one or more of these factors)</w:t>
      </w:r>
    </w:p>
    <w:p w14:paraId="532AFD82" w14:textId="4A364672"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Learning disability</w:t>
      </w:r>
    </w:p>
    <w:p w14:paraId="334C4483" w14:textId="709D6028"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Mental illness</w:t>
      </w:r>
    </w:p>
    <w:p w14:paraId="0FED18BB" w14:textId="3DCE7E72"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Autism Spectrum disorder</w:t>
      </w:r>
    </w:p>
    <w:p w14:paraId="15DA67D2" w14:textId="173BB959"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Permanently impaired mobility or frailness</w:t>
      </w:r>
    </w:p>
    <w:p w14:paraId="76CDAB5E" w14:textId="1D54B88B"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Chronic, debilitating health condition</w:t>
      </w:r>
    </w:p>
    <w:p w14:paraId="4B342B4F" w14:textId="044C900E"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Addiction / serious substance or alcohol abuse</w:t>
      </w:r>
    </w:p>
    <w:p w14:paraId="2B6E60C6" w14:textId="0AD52F2D"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Low level of literacy</w:t>
      </w:r>
    </w:p>
    <w:p w14:paraId="4483550F" w14:textId="4D6EFAA9"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Low or no English language</w:t>
      </w:r>
    </w:p>
    <w:p w14:paraId="7733EF6D" w14:textId="665BAFAE"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Age related condition that impacts on independent living</w:t>
      </w:r>
    </w:p>
    <w:p w14:paraId="666F8392" w14:textId="5F175E51" w:rsidR="00DA1F15" w:rsidRPr="00B21893" w:rsidRDefault="00DA1F15" w:rsidP="00B21893">
      <w:pPr>
        <w:spacing w:after="0" w:line="240" w:lineRule="auto"/>
        <w:rPr>
          <w:rFonts w:ascii="Arial" w:hAnsi="Arial" w:cs="Arial"/>
          <w:sz w:val="24"/>
        </w:rPr>
      </w:pPr>
    </w:p>
    <w:p w14:paraId="4C289889" w14:textId="77777777" w:rsidR="00DA1F15" w:rsidRPr="00B21893" w:rsidRDefault="00DA1F15" w:rsidP="00B21893">
      <w:pPr>
        <w:pStyle w:val="Heading5"/>
        <w:numPr>
          <w:ilvl w:val="1"/>
          <w:numId w:val="21"/>
        </w:numPr>
        <w:ind w:left="851" w:hanging="142"/>
      </w:pPr>
      <w:r w:rsidRPr="00B21893">
        <w:t>Exceptional life event</w:t>
      </w:r>
    </w:p>
    <w:p w14:paraId="4C70A167" w14:textId="77777777" w:rsidR="00DA1F15" w:rsidRPr="00B21893" w:rsidRDefault="00DA1F15" w:rsidP="00B21893">
      <w:pPr>
        <w:pStyle w:val="BodyText2"/>
        <w:ind w:left="720"/>
        <w:rPr>
          <w:rFonts w:ascii="Arial" w:hAnsi="Arial" w:cs="Arial"/>
          <w:sz w:val="24"/>
        </w:rPr>
      </w:pPr>
      <w:r w:rsidRPr="00B21893">
        <w:rPr>
          <w:rFonts w:ascii="Arial" w:hAnsi="Arial" w:cs="Arial"/>
          <w:sz w:val="24"/>
        </w:rPr>
        <w:t>(people may not have factor 1 or 2 but may have recently experienced an exceptional trauma or event so may be vulnerable at this point in time)</w:t>
      </w:r>
    </w:p>
    <w:p w14:paraId="17ECB9E6" w14:textId="64D3B6FB"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Recently moved from Supported accommodation</w:t>
      </w:r>
    </w:p>
    <w:p w14:paraId="6FA458FC" w14:textId="7AC9320F"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Bereavement following close family member.</w:t>
      </w:r>
    </w:p>
    <w:p w14:paraId="0EF6B0BD" w14:textId="336CEA07"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Victim of crime, abuse, harassment, or domestic abuse</w:t>
      </w:r>
    </w:p>
    <w:p w14:paraId="28E6F96F" w14:textId="7E49FA37"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Recently discharged from hospital or other institutional care</w:t>
      </w:r>
    </w:p>
    <w:p w14:paraId="3FFBE8B2" w14:textId="39CB9E75"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Pregnancy or recently given birth</w:t>
      </w:r>
    </w:p>
    <w:p w14:paraId="3E1AD88B" w14:textId="03E17613"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Ex service personnel returned from an area of conflict.</w:t>
      </w:r>
    </w:p>
    <w:p w14:paraId="26F22B35" w14:textId="284057B2"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Refugee or Asylum seeker</w:t>
      </w:r>
    </w:p>
    <w:p w14:paraId="1E8A20F2" w14:textId="1FBDD842"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Experiencing exceptional hardship</w:t>
      </w:r>
    </w:p>
    <w:p w14:paraId="55C56627" w14:textId="10ECD1FE" w:rsidR="00AD2A97" w:rsidRPr="00B21893" w:rsidRDefault="00AD2A97" w:rsidP="00B21893">
      <w:pPr>
        <w:spacing w:after="0" w:line="240" w:lineRule="auto"/>
        <w:rPr>
          <w:rFonts w:ascii="Arial" w:hAnsi="Arial" w:cs="Arial"/>
        </w:rPr>
      </w:pPr>
    </w:p>
    <w:p w14:paraId="600556E3" w14:textId="0D699BA5" w:rsidR="00AD2A97" w:rsidRPr="00B21893" w:rsidRDefault="00AD2A97" w:rsidP="00B21893">
      <w:pPr>
        <w:ind w:firstLine="567"/>
        <w:jc w:val="both"/>
        <w:rPr>
          <w:rFonts w:ascii="Arial" w:hAnsi="Arial" w:cs="Arial"/>
          <w:sz w:val="24"/>
          <w:szCs w:val="24"/>
        </w:rPr>
      </w:pPr>
      <w:r w:rsidRPr="00B21893">
        <w:rPr>
          <w:rFonts w:ascii="Arial" w:hAnsi="Arial" w:cs="Arial"/>
          <w:b/>
          <w:bCs/>
          <w:sz w:val="24"/>
          <w:szCs w:val="24"/>
        </w:rPr>
        <w:t>Money Advice and Welfare Rights Service</w:t>
      </w:r>
    </w:p>
    <w:p w14:paraId="4BF884A1" w14:textId="22149BCD" w:rsidR="0083468E" w:rsidRPr="00B21893" w:rsidRDefault="00823F43"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MDC</w:t>
      </w:r>
      <w:r w:rsidR="000A5AD7" w:rsidRPr="00B21893">
        <w:rPr>
          <w:rFonts w:ascii="Arial" w:hAnsi="Arial" w:cs="Arial"/>
          <w:sz w:val="24"/>
          <w:szCs w:val="24"/>
        </w:rPr>
        <w:t xml:space="preserve"> also has a money advice and welfare rights service to help tenants who fall into debt</w:t>
      </w:r>
      <w:r w:rsidR="00726D30" w:rsidRPr="00B21893">
        <w:rPr>
          <w:rFonts w:ascii="Arial" w:hAnsi="Arial" w:cs="Arial"/>
          <w:sz w:val="24"/>
          <w:szCs w:val="24"/>
        </w:rPr>
        <w:t>,</w:t>
      </w:r>
      <w:r w:rsidR="000A5AD7" w:rsidRPr="00B21893">
        <w:rPr>
          <w:rFonts w:ascii="Arial" w:hAnsi="Arial" w:cs="Arial"/>
          <w:sz w:val="24"/>
          <w:szCs w:val="24"/>
        </w:rPr>
        <w:t xml:space="preserve"> or who need advice on accessing benefits. A personal money advisor is available to provide free and confidential advice about a tenant’s financial situation, ranging from basic budgeting skills to intensive debt management.</w:t>
      </w:r>
    </w:p>
    <w:p w14:paraId="7F7F9665" w14:textId="1B3AC6FA" w:rsidR="000F6279" w:rsidRPr="00B21893" w:rsidRDefault="000F6279" w:rsidP="00823F43">
      <w:pPr>
        <w:spacing w:after="0"/>
        <w:jc w:val="both"/>
        <w:rPr>
          <w:rFonts w:ascii="Arial" w:hAnsi="Arial" w:cs="Arial"/>
          <w:sz w:val="24"/>
          <w:szCs w:val="24"/>
        </w:rPr>
      </w:pPr>
    </w:p>
    <w:p w14:paraId="0ACABE40" w14:textId="1CB043E7" w:rsidR="0083468E" w:rsidRPr="00B21893" w:rsidRDefault="0083468E" w:rsidP="00823F4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t>Succession</w:t>
      </w:r>
    </w:p>
    <w:p w14:paraId="46ED61D3" w14:textId="27F8A8A3" w:rsidR="00CE2ECD" w:rsidRPr="00B21893" w:rsidRDefault="00726D30"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MDC’s</w:t>
      </w:r>
      <w:r w:rsidR="007C410A" w:rsidRPr="00B21893">
        <w:rPr>
          <w:rFonts w:ascii="Arial" w:hAnsi="Arial" w:cs="Arial"/>
          <w:sz w:val="24"/>
          <w:szCs w:val="24"/>
        </w:rPr>
        <w:t xml:space="preserve"> policy on succession to a secure </w:t>
      </w:r>
      <w:r w:rsidRPr="00B21893">
        <w:rPr>
          <w:rFonts w:ascii="Arial" w:hAnsi="Arial" w:cs="Arial"/>
          <w:sz w:val="24"/>
          <w:szCs w:val="24"/>
        </w:rPr>
        <w:t>c</w:t>
      </w:r>
      <w:r w:rsidR="007C410A" w:rsidRPr="00B21893">
        <w:rPr>
          <w:rFonts w:ascii="Arial" w:hAnsi="Arial" w:cs="Arial"/>
          <w:sz w:val="24"/>
          <w:szCs w:val="24"/>
        </w:rPr>
        <w:t>ouncil tenancy is the same as the statutory rights set out in the Localism Act</w:t>
      </w:r>
      <w:r w:rsidRPr="00B21893">
        <w:rPr>
          <w:rFonts w:ascii="Arial" w:hAnsi="Arial" w:cs="Arial"/>
          <w:sz w:val="24"/>
          <w:szCs w:val="24"/>
        </w:rPr>
        <w:t xml:space="preserve"> 2011</w:t>
      </w:r>
      <w:r w:rsidR="007C410A" w:rsidRPr="00B21893">
        <w:rPr>
          <w:rFonts w:ascii="Arial" w:hAnsi="Arial" w:cs="Arial"/>
          <w:sz w:val="24"/>
          <w:szCs w:val="24"/>
        </w:rPr>
        <w:t xml:space="preserve">. This means that </w:t>
      </w:r>
      <w:r w:rsidRPr="00B21893">
        <w:rPr>
          <w:rFonts w:ascii="Arial" w:hAnsi="Arial" w:cs="Arial"/>
          <w:sz w:val="24"/>
          <w:szCs w:val="24"/>
        </w:rPr>
        <w:t>MDC</w:t>
      </w:r>
      <w:r w:rsidR="007C410A" w:rsidRPr="00B21893">
        <w:rPr>
          <w:rFonts w:ascii="Arial" w:hAnsi="Arial" w:cs="Arial"/>
          <w:sz w:val="24"/>
          <w:szCs w:val="24"/>
        </w:rPr>
        <w:t xml:space="preserve"> does not grant `discretionary succession’ beyond the statutory right to </w:t>
      </w:r>
      <w:r w:rsidRPr="00B21893">
        <w:rPr>
          <w:rFonts w:ascii="Arial" w:hAnsi="Arial" w:cs="Arial"/>
          <w:sz w:val="24"/>
          <w:szCs w:val="24"/>
        </w:rPr>
        <w:t>succession</w:t>
      </w:r>
      <w:r w:rsidR="007C410A" w:rsidRPr="00B21893">
        <w:rPr>
          <w:rFonts w:ascii="Arial" w:hAnsi="Arial" w:cs="Arial"/>
          <w:sz w:val="24"/>
          <w:szCs w:val="24"/>
        </w:rPr>
        <w:t xml:space="preserve">. </w:t>
      </w:r>
    </w:p>
    <w:p w14:paraId="16F8B728" w14:textId="77777777" w:rsidR="00CE2ECD" w:rsidRPr="00B21893" w:rsidRDefault="00CE2ECD" w:rsidP="00823F43">
      <w:pPr>
        <w:pStyle w:val="ListParagraph"/>
        <w:spacing w:line="276" w:lineRule="auto"/>
        <w:ind w:left="567"/>
        <w:jc w:val="both"/>
        <w:rPr>
          <w:rFonts w:ascii="Arial" w:hAnsi="Arial" w:cs="Arial"/>
          <w:sz w:val="24"/>
          <w:szCs w:val="24"/>
        </w:rPr>
      </w:pPr>
    </w:p>
    <w:p w14:paraId="251AA275" w14:textId="137D49AE" w:rsidR="00CE2ECD" w:rsidRPr="00B21893" w:rsidRDefault="007C410A"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Only one right of succession is allowed for each tenancy. The different types of succession are set out below. </w:t>
      </w:r>
    </w:p>
    <w:p w14:paraId="57DEBEA6" w14:textId="77777777" w:rsidR="00823F43" w:rsidRPr="00B21893" w:rsidRDefault="00823F43" w:rsidP="00823F43">
      <w:pPr>
        <w:pStyle w:val="ListParagraph"/>
        <w:rPr>
          <w:rFonts w:ascii="Arial" w:hAnsi="Arial" w:cs="Arial"/>
          <w:sz w:val="24"/>
          <w:szCs w:val="24"/>
        </w:rPr>
      </w:pPr>
    </w:p>
    <w:p w14:paraId="3701066B" w14:textId="380562D8" w:rsidR="00A032CF" w:rsidRPr="00B21893" w:rsidRDefault="007C410A"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lastRenderedPageBreak/>
        <w:t xml:space="preserve">Where the tenancy started before April 2012, </w:t>
      </w:r>
      <w:r w:rsidR="00920FD7" w:rsidRPr="00B21893">
        <w:rPr>
          <w:rFonts w:ascii="Arial" w:hAnsi="Arial" w:cs="Arial"/>
          <w:sz w:val="24"/>
          <w:szCs w:val="24"/>
        </w:rPr>
        <w:t xml:space="preserve">succession may occur in the following </w:t>
      </w:r>
      <w:r w:rsidRPr="00B21893">
        <w:rPr>
          <w:rFonts w:ascii="Arial" w:hAnsi="Arial" w:cs="Arial"/>
          <w:sz w:val="24"/>
          <w:szCs w:val="24"/>
        </w:rPr>
        <w:t>circumstances</w:t>
      </w:r>
      <w:r w:rsidR="00920FD7" w:rsidRPr="00B21893">
        <w:rPr>
          <w:rFonts w:ascii="Arial" w:hAnsi="Arial" w:cs="Arial"/>
          <w:sz w:val="24"/>
          <w:szCs w:val="24"/>
        </w:rPr>
        <w:t>:</w:t>
      </w:r>
    </w:p>
    <w:p w14:paraId="72DFDF7B" w14:textId="77777777" w:rsidR="005F2D59" w:rsidRPr="00B21893" w:rsidRDefault="005F2D59" w:rsidP="00823F43">
      <w:pPr>
        <w:tabs>
          <w:tab w:val="left" w:pos="567"/>
        </w:tabs>
        <w:spacing w:after="0"/>
        <w:ind w:left="567" w:hanging="567"/>
        <w:jc w:val="both"/>
        <w:rPr>
          <w:rFonts w:ascii="Arial" w:hAnsi="Arial" w:cs="Arial"/>
          <w:sz w:val="24"/>
          <w:szCs w:val="24"/>
        </w:rPr>
      </w:pPr>
    </w:p>
    <w:p w14:paraId="27E9D940" w14:textId="41ADC798" w:rsidR="00A032CF" w:rsidRPr="00B21893" w:rsidRDefault="007C410A" w:rsidP="00823F43">
      <w:pPr>
        <w:pStyle w:val="ListParagraph"/>
        <w:numPr>
          <w:ilvl w:val="0"/>
          <w:numId w:val="31"/>
        </w:numPr>
        <w:spacing w:line="276" w:lineRule="auto"/>
        <w:ind w:left="1560"/>
        <w:jc w:val="both"/>
        <w:rPr>
          <w:rFonts w:ascii="Arial" w:hAnsi="Arial" w:cs="Arial"/>
          <w:sz w:val="24"/>
          <w:szCs w:val="24"/>
        </w:rPr>
      </w:pPr>
      <w:r w:rsidRPr="00B21893">
        <w:rPr>
          <w:rFonts w:ascii="Arial" w:hAnsi="Arial" w:cs="Arial"/>
          <w:sz w:val="24"/>
          <w:szCs w:val="24"/>
        </w:rPr>
        <w:t>If a joint tenancy had been granted, when one of the joint tenants dies</w:t>
      </w:r>
      <w:r w:rsidR="00726D30" w:rsidRPr="00B21893">
        <w:rPr>
          <w:rFonts w:ascii="Arial" w:hAnsi="Arial" w:cs="Arial"/>
          <w:sz w:val="24"/>
          <w:szCs w:val="24"/>
        </w:rPr>
        <w:t>,</w:t>
      </w:r>
      <w:r w:rsidRPr="00B21893">
        <w:rPr>
          <w:rFonts w:ascii="Arial" w:hAnsi="Arial" w:cs="Arial"/>
          <w:sz w:val="24"/>
          <w:szCs w:val="24"/>
        </w:rPr>
        <w:t xml:space="preserve"> the tenancy will automatically pass to the remaining </w:t>
      </w:r>
      <w:r w:rsidR="00726D30" w:rsidRPr="00B21893">
        <w:rPr>
          <w:rFonts w:ascii="Arial" w:hAnsi="Arial" w:cs="Arial"/>
          <w:sz w:val="24"/>
          <w:szCs w:val="24"/>
        </w:rPr>
        <w:t xml:space="preserve">surviving </w:t>
      </w:r>
      <w:r w:rsidRPr="00B21893">
        <w:rPr>
          <w:rFonts w:ascii="Arial" w:hAnsi="Arial" w:cs="Arial"/>
          <w:sz w:val="24"/>
          <w:szCs w:val="24"/>
        </w:rPr>
        <w:t>tenant. This is known as `survivorship’. There is no further statutory right to succeed to a tenancy after survivorship.</w:t>
      </w:r>
    </w:p>
    <w:p w14:paraId="4B1FBFF6" w14:textId="77777777" w:rsidR="002F4E1A" w:rsidRPr="00B21893" w:rsidRDefault="002F4E1A" w:rsidP="00823F43">
      <w:pPr>
        <w:spacing w:after="0"/>
        <w:ind w:left="1560"/>
        <w:jc w:val="both"/>
        <w:rPr>
          <w:rFonts w:ascii="Arial" w:hAnsi="Arial" w:cs="Arial"/>
          <w:sz w:val="24"/>
          <w:szCs w:val="24"/>
        </w:rPr>
      </w:pPr>
    </w:p>
    <w:p w14:paraId="26DF73C9" w14:textId="162ED98A" w:rsidR="00A032CF" w:rsidRPr="00B21893" w:rsidRDefault="007C410A" w:rsidP="00823F43">
      <w:pPr>
        <w:pStyle w:val="ListParagraph"/>
        <w:numPr>
          <w:ilvl w:val="0"/>
          <w:numId w:val="31"/>
        </w:numPr>
        <w:spacing w:line="276" w:lineRule="auto"/>
        <w:ind w:left="1560"/>
        <w:jc w:val="both"/>
        <w:rPr>
          <w:rFonts w:ascii="Arial" w:hAnsi="Arial" w:cs="Arial"/>
          <w:sz w:val="24"/>
          <w:szCs w:val="24"/>
        </w:rPr>
      </w:pPr>
      <w:r w:rsidRPr="00B21893">
        <w:rPr>
          <w:rFonts w:ascii="Arial" w:hAnsi="Arial" w:cs="Arial"/>
          <w:sz w:val="24"/>
          <w:szCs w:val="24"/>
        </w:rPr>
        <w:t>If a sole tenancy ha</w:t>
      </w:r>
      <w:r w:rsidR="00726D30" w:rsidRPr="00B21893">
        <w:rPr>
          <w:rFonts w:ascii="Arial" w:hAnsi="Arial" w:cs="Arial"/>
          <w:sz w:val="24"/>
          <w:szCs w:val="24"/>
        </w:rPr>
        <w:t>s</w:t>
      </w:r>
      <w:r w:rsidRPr="00B21893">
        <w:rPr>
          <w:rFonts w:ascii="Arial" w:hAnsi="Arial" w:cs="Arial"/>
          <w:sz w:val="24"/>
          <w:szCs w:val="24"/>
        </w:rPr>
        <w:t xml:space="preserve"> been granted, when the tenant dies</w:t>
      </w:r>
      <w:r w:rsidR="00726D30" w:rsidRPr="00B21893">
        <w:rPr>
          <w:rFonts w:ascii="Arial" w:hAnsi="Arial" w:cs="Arial"/>
          <w:sz w:val="24"/>
          <w:szCs w:val="24"/>
        </w:rPr>
        <w:t>,</w:t>
      </w:r>
      <w:r w:rsidRPr="00B21893">
        <w:rPr>
          <w:rFonts w:ascii="Arial" w:hAnsi="Arial" w:cs="Arial"/>
          <w:sz w:val="24"/>
          <w:szCs w:val="24"/>
        </w:rPr>
        <w:t xml:space="preserve"> the tenancy will pass to </w:t>
      </w:r>
      <w:r w:rsidR="00726D30" w:rsidRPr="00B21893">
        <w:rPr>
          <w:rFonts w:ascii="Arial" w:hAnsi="Arial" w:cs="Arial"/>
          <w:sz w:val="24"/>
          <w:szCs w:val="24"/>
        </w:rPr>
        <w:t xml:space="preserve">a </w:t>
      </w:r>
      <w:r w:rsidRPr="00B21893">
        <w:rPr>
          <w:rFonts w:ascii="Arial" w:hAnsi="Arial" w:cs="Arial"/>
          <w:sz w:val="24"/>
          <w:szCs w:val="24"/>
        </w:rPr>
        <w:t>tenant’s spouse</w:t>
      </w:r>
      <w:r w:rsidR="00726D30" w:rsidRPr="00B21893">
        <w:rPr>
          <w:rFonts w:ascii="Arial" w:hAnsi="Arial" w:cs="Arial"/>
          <w:sz w:val="24"/>
          <w:szCs w:val="24"/>
        </w:rPr>
        <w:t>,</w:t>
      </w:r>
      <w:r w:rsidRPr="00B21893">
        <w:rPr>
          <w:rFonts w:ascii="Arial" w:hAnsi="Arial" w:cs="Arial"/>
          <w:sz w:val="24"/>
          <w:szCs w:val="24"/>
        </w:rPr>
        <w:t xml:space="preserve"> or civil partner</w:t>
      </w:r>
      <w:r w:rsidR="00726D30" w:rsidRPr="00B21893">
        <w:rPr>
          <w:rFonts w:ascii="Arial" w:hAnsi="Arial" w:cs="Arial"/>
          <w:sz w:val="24"/>
          <w:szCs w:val="24"/>
        </w:rPr>
        <w:t xml:space="preserve"> (or someone living as if they were the tenants spouse or civil partner),</w:t>
      </w:r>
      <w:r w:rsidRPr="00B21893">
        <w:rPr>
          <w:rFonts w:ascii="Arial" w:hAnsi="Arial" w:cs="Arial"/>
          <w:sz w:val="24"/>
          <w:szCs w:val="24"/>
        </w:rPr>
        <w:t xml:space="preserve"> as long as that person was living in the property</w:t>
      </w:r>
      <w:r w:rsidR="00726D30" w:rsidRPr="00B21893">
        <w:rPr>
          <w:rFonts w:ascii="Arial" w:hAnsi="Arial" w:cs="Arial"/>
          <w:sz w:val="24"/>
          <w:szCs w:val="24"/>
        </w:rPr>
        <w:t xml:space="preserve">, as their only or main home, </w:t>
      </w:r>
      <w:r w:rsidRPr="00B21893">
        <w:rPr>
          <w:rFonts w:ascii="Arial" w:hAnsi="Arial" w:cs="Arial"/>
          <w:sz w:val="24"/>
          <w:szCs w:val="24"/>
        </w:rPr>
        <w:t>when the sole tenant died.</w:t>
      </w:r>
    </w:p>
    <w:p w14:paraId="58975EB3" w14:textId="77777777" w:rsidR="00706B8A" w:rsidRPr="00B21893" w:rsidRDefault="00706B8A" w:rsidP="00823F43">
      <w:pPr>
        <w:pStyle w:val="ListParagraph"/>
        <w:spacing w:line="276" w:lineRule="auto"/>
        <w:ind w:left="1560"/>
        <w:jc w:val="both"/>
        <w:rPr>
          <w:rFonts w:ascii="Arial" w:hAnsi="Arial" w:cs="Arial"/>
          <w:sz w:val="24"/>
          <w:szCs w:val="24"/>
        </w:rPr>
      </w:pPr>
    </w:p>
    <w:p w14:paraId="4C540B9F" w14:textId="1E5C4226" w:rsidR="00706B8A" w:rsidRPr="00B21893" w:rsidRDefault="007C410A" w:rsidP="00823F43">
      <w:pPr>
        <w:pStyle w:val="ListParagraph"/>
        <w:numPr>
          <w:ilvl w:val="0"/>
          <w:numId w:val="31"/>
        </w:numPr>
        <w:spacing w:line="276" w:lineRule="auto"/>
        <w:ind w:left="1560"/>
        <w:jc w:val="both"/>
        <w:rPr>
          <w:rFonts w:ascii="Arial" w:hAnsi="Arial" w:cs="Arial"/>
          <w:sz w:val="24"/>
          <w:szCs w:val="24"/>
        </w:rPr>
      </w:pPr>
      <w:r w:rsidRPr="00B21893">
        <w:rPr>
          <w:rFonts w:ascii="Arial" w:hAnsi="Arial" w:cs="Arial"/>
          <w:sz w:val="24"/>
          <w:szCs w:val="24"/>
        </w:rPr>
        <w:t>If a sole tenancy has been granted and the tenant does not have a partner/ spouse</w:t>
      </w:r>
      <w:r w:rsidR="00726D30" w:rsidRPr="00B21893">
        <w:rPr>
          <w:rFonts w:ascii="Arial" w:hAnsi="Arial" w:cs="Arial"/>
          <w:sz w:val="24"/>
          <w:szCs w:val="24"/>
        </w:rPr>
        <w:t xml:space="preserve"> in which the tenancy could pass to</w:t>
      </w:r>
      <w:r w:rsidRPr="00B21893">
        <w:rPr>
          <w:rFonts w:ascii="Arial" w:hAnsi="Arial" w:cs="Arial"/>
          <w:sz w:val="24"/>
          <w:szCs w:val="24"/>
        </w:rPr>
        <w:t>, when they die</w:t>
      </w:r>
      <w:r w:rsidR="00726D30" w:rsidRPr="00B21893">
        <w:rPr>
          <w:rFonts w:ascii="Arial" w:hAnsi="Arial" w:cs="Arial"/>
          <w:sz w:val="24"/>
          <w:szCs w:val="24"/>
        </w:rPr>
        <w:t>,</w:t>
      </w:r>
      <w:r w:rsidRPr="00B21893">
        <w:rPr>
          <w:rFonts w:ascii="Arial" w:hAnsi="Arial" w:cs="Arial"/>
          <w:sz w:val="24"/>
          <w:szCs w:val="24"/>
        </w:rPr>
        <w:t xml:space="preserve"> the tenancy can pass to a member of their family (parent, grandparent, child, grandchild, brother, sister, uncle, aunt, nephew or niece) if: </w:t>
      </w:r>
    </w:p>
    <w:p w14:paraId="4F4EAE40" w14:textId="77777777" w:rsidR="00706B8A" w:rsidRPr="00B21893" w:rsidRDefault="00706B8A" w:rsidP="00823F43">
      <w:pPr>
        <w:pStyle w:val="ListParagraph"/>
        <w:spacing w:line="276" w:lineRule="auto"/>
        <w:jc w:val="both"/>
        <w:rPr>
          <w:rFonts w:ascii="Arial" w:hAnsi="Arial" w:cs="Arial"/>
          <w:sz w:val="24"/>
          <w:szCs w:val="24"/>
        </w:rPr>
      </w:pPr>
    </w:p>
    <w:p w14:paraId="0A49F651" w14:textId="2A310233" w:rsidR="00706B8A" w:rsidRPr="00B21893" w:rsidRDefault="007C410A" w:rsidP="00823F43">
      <w:pPr>
        <w:pStyle w:val="ListParagraph"/>
        <w:numPr>
          <w:ilvl w:val="0"/>
          <w:numId w:val="32"/>
        </w:numPr>
        <w:spacing w:line="276" w:lineRule="auto"/>
        <w:jc w:val="both"/>
        <w:rPr>
          <w:rFonts w:ascii="Arial" w:hAnsi="Arial" w:cs="Arial"/>
          <w:sz w:val="24"/>
          <w:szCs w:val="24"/>
        </w:rPr>
      </w:pPr>
      <w:r w:rsidRPr="00B21893">
        <w:rPr>
          <w:rFonts w:ascii="Arial" w:hAnsi="Arial" w:cs="Arial"/>
          <w:sz w:val="24"/>
          <w:szCs w:val="24"/>
        </w:rPr>
        <w:t xml:space="preserve">that family member has lived in the property as their </w:t>
      </w:r>
      <w:r w:rsidR="00726D30" w:rsidRPr="00B21893">
        <w:rPr>
          <w:rFonts w:ascii="Arial" w:hAnsi="Arial" w:cs="Arial"/>
          <w:sz w:val="24"/>
          <w:szCs w:val="24"/>
        </w:rPr>
        <w:t xml:space="preserve">only or </w:t>
      </w:r>
      <w:r w:rsidRPr="00B21893">
        <w:rPr>
          <w:rFonts w:ascii="Arial" w:hAnsi="Arial" w:cs="Arial"/>
          <w:sz w:val="24"/>
          <w:szCs w:val="24"/>
        </w:rPr>
        <w:t>main home at the time of the sole tenant’s death, and</w:t>
      </w:r>
    </w:p>
    <w:p w14:paraId="19158A7D" w14:textId="77777777" w:rsidR="00706B8A" w:rsidRPr="00B21893" w:rsidRDefault="00706B8A" w:rsidP="00823F43">
      <w:pPr>
        <w:pStyle w:val="ListParagraph"/>
        <w:spacing w:line="276" w:lineRule="auto"/>
        <w:ind w:left="2138"/>
        <w:jc w:val="both"/>
        <w:rPr>
          <w:rFonts w:ascii="Arial" w:hAnsi="Arial" w:cs="Arial"/>
          <w:sz w:val="24"/>
          <w:szCs w:val="24"/>
        </w:rPr>
      </w:pPr>
    </w:p>
    <w:p w14:paraId="5CD44623" w14:textId="614C4C85" w:rsidR="00706B8A" w:rsidRPr="00B21893" w:rsidRDefault="007C410A" w:rsidP="00823F43">
      <w:pPr>
        <w:pStyle w:val="ListParagraph"/>
        <w:numPr>
          <w:ilvl w:val="0"/>
          <w:numId w:val="32"/>
        </w:numPr>
        <w:spacing w:line="276" w:lineRule="auto"/>
        <w:jc w:val="both"/>
        <w:rPr>
          <w:rFonts w:ascii="Arial" w:hAnsi="Arial" w:cs="Arial"/>
          <w:sz w:val="24"/>
          <w:szCs w:val="24"/>
        </w:rPr>
      </w:pPr>
      <w:r w:rsidRPr="00B21893">
        <w:rPr>
          <w:rFonts w:ascii="Arial" w:hAnsi="Arial" w:cs="Arial"/>
          <w:sz w:val="24"/>
          <w:szCs w:val="24"/>
        </w:rPr>
        <w:t xml:space="preserve">that family member has lived </w:t>
      </w:r>
      <w:r w:rsidR="00920FD7" w:rsidRPr="00B21893">
        <w:rPr>
          <w:rFonts w:ascii="Arial" w:hAnsi="Arial" w:cs="Arial"/>
          <w:sz w:val="24"/>
          <w:szCs w:val="24"/>
        </w:rPr>
        <w:t>in the property as their only or main home</w:t>
      </w:r>
      <w:r w:rsidR="00920FD7" w:rsidRPr="00B21893" w:rsidDel="00920FD7">
        <w:rPr>
          <w:rFonts w:ascii="Arial" w:hAnsi="Arial" w:cs="Arial"/>
          <w:sz w:val="24"/>
          <w:szCs w:val="24"/>
        </w:rPr>
        <w:t xml:space="preserve"> </w:t>
      </w:r>
      <w:r w:rsidR="00920FD7" w:rsidRPr="00B21893">
        <w:rPr>
          <w:rFonts w:ascii="Arial" w:hAnsi="Arial" w:cs="Arial"/>
          <w:sz w:val="24"/>
          <w:szCs w:val="24"/>
        </w:rPr>
        <w:t xml:space="preserve">for a period of at least </w:t>
      </w:r>
      <w:r w:rsidRPr="00B21893">
        <w:rPr>
          <w:rFonts w:ascii="Arial" w:hAnsi="Arial" w:cs="Arial"/>
          <w:sz w:val="24"/>
          <w:szCs w:val="24"/>
        </w:rPr>
        <w:t xml:space="preserve">twelve months </w:t>
      </w:r>
      <w:r w:rsidR="00920FD7" w:rsidRPr="00B21893">
        <w:rPr>
          <w:rFonts w:ascii="Arial" w:hAnsi="Arial" w:cs="Arial"/>
          <w:sz w:val="24"/>
          <w:szCs w:val="24"/>
        </w:rPr>
        <w:t>prior to the death of the tenant.</w:t>
      </w:r>
    </w:p>
    <w:p w14:paraId="794F5132" w14:textId="77777777" w:rsidR="00706B8A" w:rsidRPr="00B21893" w:rsidRDefault="00706B8A" w:rsidP="00823F43">
      <w:pPr>
        <w:pStyle w:val="ListParagraph"/>
        <w:spacing w:line="276" w:lineRule="auto"/>
        <w:ind w:left="567"/>
        <w:jc w:val="both"/>
        <w:rPr>
          <w:rFonts w:ascii="Arial" w:hAnsi="Arial" w:cs="Arial"/>
          <w:sz w:val="24"/>
          <w:szCs w:val="24"/>
        </w:rPr>
      </w:pPr>
    </w:p>
    <w:p w14:paraId="0BD1870F" w14:textId="48BAB544" w:rsidR="002029FC" w:rsidRPr="00B21893" w:rsidRDefault="007C410A"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Where the tenancy started after April 2012,</w:t>
      </w:r>
      <w:r w:rsidR="00920FD7" w:rsidRPr="00B21893">
        <w:rPr>
          <w:rFonts w:ascii="Arial" w:hAnsi="Arial" w:cs="Arial"/>
          <w:sz w:val="24"/>
          <w:szCs w:val="24"/>
        </w:rPr>
        <w:t xml:space="preserve"> succession may occur in the </w:t>
      </w:r>
      <w:r w:rsidRPr="00B21893">
        <w:rPr>
          <w:rFonts w:ascii="Arial" w:hAnsi="Arial" w:cs="Arial"/>
          <w:sz w:val="24"/>
          <w:szCs w:val="24"/>
        </w:rPr>
        <w:t>following circumstances</w:t>
      </w:r>
      <w:r w:rsidR="00920FD7" w:rsidRPr="00B21893">
        <w:rPr>
          <w:rFonts w:ascii="Arial" w:hAnsi="Arial" w:cs="Arial"/>
          <w:sz w:val="24"/>
          <w:szCs w:val="24"/>
        </w:rPr>
        <w:t>:</w:t>
      </w:r>
    </w:p>
    <w:p w14:paraId="587BE17C" w14:textId="77777777" w:rsidR="002029FC" w:rsidRPr="00B21893" w:rsidRDefault="002029FC" w:rsidP="00823F43">
      <w:pPr>
        <w:pStyle w:val="ListParagraph"/>
        <w:spacing w:line="276" w:lineRule="auto"/>
        <w:ind w:left="567" w:hanging="567"/>
        <w:jc w:val="both"/>
        <w:rPr>
          <w:rFonts w:ascii="Arial" w:hAnsi="Arial" w:cs="Arial"/>
          <w:sz w:val="24"/>
          <w:szCs w:val="24"/>
        </w:rPr>
      </w:pPr>
    </w:p>
    <w:p w14:paraId="025EFDE0" w14:textId="77777777" w:rsidR="00920FD7" w:rsidRPr="00B21893" w:rsidRDefault="00920FD7" w:rsidP="00B21893">
      <w:pPr>
        <w:pStyle w:val="ListParagraph"/>
        <w:numPr>
          <w:ilvl w:val="0"/>
          <w:numId w:val="40"/>
        </w:numPr>
        <w:spacing w:line="276" w:lineRule="auto"/>
        <w:ind w:left="1560"/>
        <w:jc w:val="both"/>
        <w:rPr>
          <w:rFonts w:ascii="Arial" w:hAnsi="Arial" w:cs="Arial"/>
          <w:sz w:val="24"/>
          <w:szCs w:val="24"/>
        </w:rPr>
      </w:pPr>
      <w:r w:rsidRPr="00B21893">
        <w:rPr>
          <w:rFonts w:ascii="Arial" w:hAnsi="Arial" w:cs="Arial"/>
          <w:sz w:val="24"/>
          <w:szCs w:val="24"/>
        </w:rPr>
        <w:t>If a joint tenancy had been granted, when one of the joint tenants dies, the tenancy will automatically pass to the remaining surviving tenant. This is known as `survivorship’. There is no further statutory right to succeed to a tenancy after survivorship.</w:t>
      </w:r>
    </w:p>
    <w:p w14:paraId="22E839D5" w14:textId="5C3DD945" w:rsidR="00920FD7" w:rsidRPr="00B21893" w:rsidRDefault="00920FD7" w:rsidP="00B21893">
      <w:pPr>
        <w:pStyle w:val="ListParagraph"/>
        <w:spacing w:line="276" w:lineRule="auto"/>
        <w:ind w:left="2138"/>
        <w:jc w:val="both"/>
        <w:rPr>
          <w:rFonts w:ascii="Arial" w:hAnsi="Arial" w:cs="Arial"/>
          <w:sz w:val="24"/>
          <w:szCs w:val="24"/>
        </w:rPr>
      </w:pPr>
    </w:p>
    <w:p w14:paraId="0CEC5D9D" w14:textId="77777777" w:rsidR="00920FD7" w:rsidRPr="00B21893" w:rsidRDefault="00920FD7" w:rsidP="00B21893">
      <w:pPr>
        <w:pStyle w:val="ListParagraph"/>
        <w:numPr>
          <w:ilvl w:val="0"/>
          <w:numId w:val="40"/>
        </w:numPr>
        <w:spacing w:line="276" w:lineRule="auto"/>
        <w:ind w:left="1560"/>
        <w:jc w:val="both"/>
        <w:rPr>
          <w:rFonts w:ascii="Arial" w:hAnsi="Arial" w:cs="Arial"/>
          <w:sz w:val="24"/>
          <w:szCs w:val="24"/>
        </w:rPr>
      </w:pPr>
      <w:r w:rsidRPr="00B21893">
        <w:rPr>
          <w:rFonts w:ascii="Arial" w:hAnsi="Arial" w:cs="Arial"/>
          <w:sz w:val="24"/>
          <w:szCs w:val="24"/>
        </w:rPr>
        <w:t>If a sole tenancy has been granted, when the tenant dies, the tenancy will pass to a tenant’s spouse, or civil partner (or someone living as if they were the tenants spouse or civil partner), as long as that person was living in the property, as their only or main home, when the sole tenant died.</w:t>
      </w:r>
    </w:p>
    <w:p w14:paraId="5C46DEA4" w14:textId="77777777" w:rsidR="00706B8A" w:rsidRPr="00B21893" w:rsidRDefault="00706B8A" w:rsidP="00823F43">
      <w:pPr>
        <w:pStyle w:val="ListParagraph"/>
        <w:spacing w:line="276" w:lineRule="auto"/>
        <w:ind w:left="567" w:hanging="567"/>
        <w:jc w:val="both"/>
        <w:rPr>
          <w:rFonts w:ascii="Arial" w:hAnsi="Arial" w:cs="Arial"/>
          <w:sz w:val="24"/>
          <w:szCs w:val="24"/>
        </w:rPr>
      </w:pPr>
    </w:p>
    <w:p w14:paraId="59F0E23E" w14:textId="187BE72F" w:rsidR="00D25860" w:rsidRPr="00B21893" w:rsidRDefault="00823F43"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T</w:t>
      </w:r>
      <w:r w:rsidR="007C410A" w:rsidRPr="00B21893">
        <w:rPr>
          <w:rFonts w:ascii="Arial" w:hAnsi="Arial" w:cs="Arial"/>
          <w:sz w:val="24"/>
          <w:szCs w:val="24"/>
        </w:rPr>
        <w:t xml:space="preserve">here </w:t>
      </w:r>
      <w:r w:rsidR="00920FD7" w:rsidRPr="00B21893">
        <w:rPr>
          <w:rFonts w:ascii="Arial" w:hAnsi="Arial" w:cs="Arial"/>
          <w:sz w:val="24"/>
          <w:szCs w:val="24"/>
        </w:rPr>
        <w:t>are</w:t>
      </w:r>
      <w:r w:rsidR="007C410A" w:rsidRPr="00B21893">
        <w:rPr>
          <w:rFonts w:ascii="Arial" w:hAnsi="Arial" w:cs="Arial"/>
          <w:sz w:val="24"/>
          <w:szCs w:val="24"/>
        </w:rPr>
        <w:t xml:space="preserve"> no further right of succession in the following circumstances</w:t>
      </w:r>
      <w:r w:rsidR="00920FD7" w:rsidRPr="00B21893">
        <w:rPr>
          <w:rFonts w:ascii="Arial" w:hAnsi="Arial" w:cs="Arial"/>
          <w:sz w:val="24"/>
          <w:szCs w:val="24"/>
        </w:rPr>
        <w:t>:</w:t>
      </w:r>
    </w:p>
    <w:p w14:paraId="421F89F3" w14:textId="77777777" w:rsidR="002D5D9E" w:rsidRPr="00B21893" w:rsidRDefault="002D5D9E" w:rsidP="00823F43">
      <w:pPr>
        <w:pStyle w:val="ListParagraph"/>
        <w:spacing w:line="276" w:lineRule="auto"/>
        <w:ind w:left="567" w:hanging="567"/>
        <w:jc w:val="both"/>
        <w:rPr>
          <w:rFonts w:ascii="Arial" w:hAnsi="Arial" w:cs="Arial"/>
          <w:sz w:val="24"/>
          <w:szCs w:val="24"/>
        </w:rPr>
      </w:pPr>
    </w:p>
    <w:p w14:paraId="4F1FFFF5" w14:textId="55D35BB0" w:rsidR="00D25860" w:rsidRPr="00B21893" w:rsidRDefault="00920FD7" w:rsidP="00B21893">
      <w:pPr>
        <w:pStyle w:val="ListParagraph"/>
        <w:numPr>
          <w:ilvl w:val="0"/>
          <w:numId w:val="42"/>
        </w:numPr>
        <w:spacing w:line="276" w:lineRule="auto"/>
        <w:jc w:val="both"/>
        <w:rPr>
          <w:rFonts w:ascii="Arial" w:hAnsi="Arial" w:cs="Arial"/>
          <w:sz w:val="24"/>
          <w:szCs w:val="24"/>
        </w:rPr>
      </w:pPr>
      <w:r w:rsidRPr="00B21893">
        <w:rPr>
          <w:rFonts w:ascii="Arial" w:hAnsi="Arial" w:cs="Arial"/>
          <w:sz w:val="24"/>
          <w:szCs w:val="24"/>
        </w:rPr>
        <w:t>T</w:t>
      </w:r>
      <w:r w:rsidR="007C410A" w:rsidRPr="00B21893">
        <w:rPr>
          <w:rFonts w:ascii="Arial" w:hAnsi="Arial" w:cs="Arial"/>
          <w:sz w:val="24"/>
          <w:szCs w:val="24"/>
        </w:rPr>
        <w:t>he current tenant succeeded to the tenancy or gained it through survivorship</w:t>
      </w:r>
      <w:r w:rsidRPr="00B21893">
        <w:rPr>
          <w:rFonts w:ascii="Arial" w:hAnsi="Arial" w:cs="Arial"/>
          <w:sz w:val="24"/>
          <w:szCs w:val="24"/>
        </w:rPr>
        <w:t>, and is therefore themselves considered as a successor.</w:t>
      </w:r>
    </w:p>
    <w:p w14:paraId="6BF58971" w14:textId="77777777" w:rsidR="002D5D9E" w:rsidRPr="00B21893" w:rsidRDefault="002D5D9E" w:rsidP="00B21893">
      <w:pPr>
        <w:pStyle w:val="ListParagraph"/>
        <w:spacing w:line="276" w:lineRule="auto"/>
        <w:ind w:left="1560"/>
        <w:jc w:val="both"/>
        <w:rPr>
          <w:rFonts w:ascii="Arial" w:hAnsi="Arial" w:cs="Arial"/>
          <w:sz w:val="24"/>
          <w:szCs w:val="24"/>
        </w:rPr>
      </w:pPr>
    </w:p>
    <w:p w14:paraId="5E936F06" w14:textId="28716327" w:rsidR="00D25860" w:rsidRPr="00B21893" w:rsidRDefault="00920FD7" w:rsidP="00B21893">
      <w:pPr>
        <w:pStyle w:val="ListParagraph"/>
        <w:numPr>
          <w:ilvl w:val="0"/>
          <w:numId w:val="42"/>
        </w:numPr>
        <w:spacing w:line="276" w:lineRule="auto"/>
        <w:jc w:val="both"/>
        <w:rPr>
          <w:rFonts w:ascii="Arial" w:hAnsi="Arial" w:cs="Arial"/>
          <w:sz w:val="24"/>
          <w:szCs w:val="24"/>
        </w:rPr>
      </w:pPr>
      <w:r w:rsidRPr="00B21893">
        <w:rPr>
          <w:rFonts w:ascii="Arial" w:hAnsi="Arial" w:cs="Arial"/>
          <w:sz w:val="24"/>
          <w:szCs w:val="24"/>
        </w:rPr>
        <w:t>T</w:t>
      </w:r>
      <w:r w:rsidR="007C410A" w:rsidRPr="00B21893">
        <w:rPr>
          <w:rFonts w:ascii="Arial" w:hAnsi="Arial" w:cs="Arial"/>
          <w:sz w:val="24"/>
          <w:szCs w:val="24"/>
        </w:rPr>
        <w:t>he current tenant became the tenant because the tenancy was assigned to them as a potential successor</w:t>
      </w:r>
      <w:r w:rsidRPr="00B21893">
        <w:rPr>
          <w:rFonts w:ascii="Arial" w:hAnsi="Arial" w:cs="Arial"/>
          <w:sz w:val="24"/>
          <w:szCs w:val="24"/>
        </w:rPr>
        <w:t>. When a tenancy is assigned in this way it uses up the ‘one succession’ right.</w:t>
      </w:r>
      <w:r w:rsidR="007C410A" w:rsidRPr="00B21893">
        <w:rPr>
          <w:rFonts w:ascii="Arial" w:hAnsi="Arial" w:cs="Arial"/>
          <w:sz w:val="24"/>
          <w:szCs w:val="24"/>
        </w:rPr>
        <w:t xml:space="preserve"> </w:t>
      </w:r>
    </w:p>
    <w:p w14:paraId="265B55EE" w14:textId="77777777" w:rsidR="002D5D9E" w:rsidRPr="00B21893" w:rsidRDefault="002D5D9E" w:rsidP="00B21893">
      <w:pPr>
        <w:pStyle w:val="ListParagraph"/>
        <w:spacing w:line="276" w:lineRule="auto"/>
        <w:ind w:left="1560"/>
        <w:jc w:val="both"/>
        <w:rPr>
          <w:rFonts w:ascii="Arial" w:hAnsi="Arial" w:cs="Arial"/>
          <w:sz w:val="24"/>
          <w:szCs w:val="24"/>
        </w:rPr>
      </w:pPr>
    </w:p>
    <w:p w14:paraId="680D3849" w14:textId="7A3266DB" w:rsidR="00D25860" w:rsidRPr="00B21893" w:rsidRDefault="00920FD7" w:rsidP="00B21893">
      <w:pPr>
        <w:pStyle w:val="ListParagraph"/>
        <w:numPr>
          <w:ilvl w:val="0"/>
          <w:numId w:val="42"/>
        </w:numPr>
        <w:spacing w:line="276" w:lineRule="auto"/>
        <w:jc w:val="both"/>
        <w:rPr>
          <w:rFonts w:ascii="Arial" w:hAnsi="Arial" w:cs="Arial"/>
          <w:sz w:val="24"/>
          <w:szCs w:val="24"/>
        </w:rPr>
      </w:pPr>
      <w:r w:rsidRPr="00B21893">
        <w:rPr>
          <w:rFonts w:ascii="Arial" w:hAnsi="Arial" w:cs="Arial"/>
          <w:sz w:val="24"/>
          <w:szCs w:val="24"/>
        </w:rPr>
        <w:t>T</w:t>
      </w:r>
      <w:r w:rsidR="007C410A" w:rsidRPr="00B21893">
        <w:rPr>
          <w:rFonts w:ascii="Arial" w:hAnsi="Arial" w:cs="Arial"/>
          <w:sz w:val="24"/>
          <w:szCs w:val="24"/>
        </w:rPr>
        <w:t>he current tenant was assigned the tenancy</w:t>
      </w:r>
      <w:r w:rsidRPr="00B21893">
        <w:rPr>
          <w:rFonts w:ascii="Arial" w:hAnsi="Arial" w:cs="Arial"/>
          <w:sz w:val="24"/>
          <w:szCs w:val="24"/>
        </w:rPr>
        <w:t>,</w:t>
      </w:r>
      <w:r w:rsidR="007C410A" w:rsidRPr="00B21893">
        <w:rPr>
          <w:rFonts w:ascii="Arial" w:hAnsi="Arial" w:cs="Arial"/>
          <w:sz w:val="24"/>
          <w:szCs w:val="24"/>
        </w:rPr>
        <w:t xml:space="preserve"> via the family courts</w:t>
      </w:r>
      <w:r w:rsidRPr="00B21893">
        <w:rPr>
          <w:rFonts w:ascii="Arial" w:hAnsi="Arial" w:cs="Arial"/>
          <w:sz w:val="24"/>
          <w:szCs w:val="24"/>
        </w:rPr>
        <w:t>,</w:t>
      </w:r>
      <w:r w:rsidR="007C410A" w:rsidRPr="00B21893">
        <w:rPr>
          <w:rFonts w:ascii="Arial" w:hAnsi="Arial" w:cs="Arial"/>
          <w:sz w:val="24"/>
          <w:szCs w:val="24"/>
        </w:rPr>
        <w:t xml:space="preserve"> following relationship breakdown and the original tenant was a successor</w:t>
      </w:r>
      <w:r w:rsidRPr="00B21893">
        <w:rPr>
          <w:rFonts w:ascii="Arial" w:hAnsi="Arial" w:cs="Arial"/>
          <w:sz w:val="24"/>
          <w:szCs w:val="24"/>
        </w:rPr>
        <w:t>.</w:t>
      </w:r>
      <w:r w:rsidR="007C410A" w:rsidRPr="00B21893">
        <w:rPr>
          <w:rFonts w:ascii="Arial" w:hAnsi="Arial" w:cs="Arial"/>
          <w:sz w:val="24"/>
          <w:szCs w:val="24"/>
        </w:rPr>
        <w:t xml:space="preserve"> </w:t>
      </w:r>
    </w:p>
    <w:p w14:paraId="492D51E2" w14:textId="77777777" w:rsidR="002D5D9E" w:rsidRPr="00B21893" w:rsidRDefault="002D5D9E" w:rsidP="00B21893">
      <w:pPr>
        <w:pStyle w:val="ListParagraph"/>
        <w:spacing w:line="276" w:lineRule="auto"/>
        <w:ind w:left="1560"/>
        <w:jc w:val="both"/>
        <w:rPr>
          <w:rFonts w:ascii="Arial" w:hAnsi="Arial" w:cs="Arial"/>
          <w:sz w:val="24"/>
          <w:szCs w:val="24"/>
        </w:rPr>
      </w:pPr>
    </w:p>
    <w:p w14:paraId="072BA952" w14:textId="0A8C7861" w:rsidR="002D5D9E" w:rsidRPr="00B21893" w:rsidRDefault="00920FD7" w:rsidP="00B21893">
      <w:pPr>
        <w:pStyle w:val="ListParagraph"/>
        <w:numPr>
          <w:ilvl w:val="0"/>
          <w:numId w:val="42"/>
        </w:numPr>
        <w:spacing w:line="276" w:lineRule="auto"/>
        <w:jc w:val="both"/>
        <w:rPr>
          <w:rFonts w:ascii="Arial" w:hAnsi="Arial" w:cs="Arial"/>
          <w:sz w:val="24"/>
          <w:szCs w:val="24"/>
        </w:rPr>
      </w:pPr>
      <w:r w:rsidRPr="00B21893">
        <w:rPr>
          <w:rFonts w:ascii="Arial" w:hAnsi="Arial" w:cs="Arial"/>
          <w:sz w:val="24"/>
          <w:szCs w:val="24"/>
        </w:rPr>
        <w:t>T</w:t>
      </w:r>
      <w:r w:rsidR="007C410A" w:rsidRPr="00B21893">
        <w:rPr>
          <w:rFonts w:ascii="Arial" w:hAnsi="Arial" w:cs="Arial"/>
          <w:sz w:val="24"/>
          <w:szCs w:val="24"/>
        </w:rPr>
        <w:t>he tenancy was previously an introductory tenancy and the introductory tenant was a successor</w:t>
      </w:r>
      <w:r w:rsidRPr="00B21893">
        <w:rPr>
          <w:rFonts w:ascii="Arial" w:hAnsi="Arial" w:cs="Arial"/>
          <w:sz w:val="24"/>
          <w:szCs w:val="24"/>
        </w:rPr>
        <w:t>.</w:t>
      </w:r>
      <w:r w:rsidR="007C410A" w:rsidRPr="00B21893">
        <w:rPr>
          <w:rFonts w:ascii="Arial" w:hAnsi="Arial" w:cs="Arial"/>
          <w:sz w:val="24"/>
          <w:szCs w:val="24"/>
        </w:rPr>
        <w:t xml:space="preserve"> </w:t>
      </w:r>
    </w:p>
    <w:p w14:paraId="0F580924" w14:textId="77777777" w:rsidR="00920FD7" w:rsidRPr="00B21893" w:rsidRDefault="00920FD7" w:rsidP="00B21893">
      <w:pPr>
        <w:pStyle w:val="ListParagraph"/>
        <w:rPr>
          <w:rFonts w:ascii="Arial" w:hAnsi="Arial" w:cs="Arial"/>
          <w:sz w:val="24"/>
          <w:szCs w:val="24"/>
        </w:rPr>
      </w:pPr>
    </w:p>
    <w:p w14:paraId="67A32E84" w14:textId="1376A9FC" w:rsidR="002D5D9E" w:rsidRPr="00B21893" w:rsidRDefault="00920FD7" w:rsidP="00B21893">
      <w:pPr>
        <w:pStyle w:val="ListParagraph"/>
        <w:numPr>
          <w:ilvl w:val="0"/>
          <w:numId w:val="42"/>
        </w:numPr>
        <w:spacing w:line="276" w:lineRule="auto"/>
        <w:jc w:val="both"/>
        <w:rPr>
          <w:rFonts w:ascii="Arial" w:hAnsi="Arial" w:cs="Arial"/>
          <w:sz w:val="24"/>
          <w:szCs w:val="24"/>
        </w:rPr>
      </w:pPr>
      <w:r w:rsidRPr="00B21893">
        <w:rPr>
          <w:rFonts w:ascii="Arial" w:hAnsi="Arial" w:cs="Arial"/>
          <w:sz w:val="24"/>
          <w:szCs w:val="24"/>
        </w:rPr>
        <w:t>W</w:t>
      </w:r>
      <w:r w:rsidR="007C410A" w:rsidRPr="00B21893">
        <w:rPr>
          <w:rFonts w:ascii="Arial" w:hAnsi="Arial" w:cs="Arial"/>
          <w:sz w:val="24"/>
          <w:szCs w:val="24"/>
        </w:rPr>
        <w:t>hen the tenant was granted a new secure tenancy of the same</w:t>
      </w:r>
      <w:r w:rsidRPr="00B21893">
        <w:rPr>
          <w:rFonts w:ascii="Arial" w:hAnsi="Arial" w:cs="Arial"/>
          <w:sz w:val="24"/>
          <w:szCs w:val="24"/>
        </w:rPr>
        <w:t>,</w:t>
      </w:r>
      <w:r w:rsidR="007C410A" w:rsidRPr="00B21893">
        <w:rPr>
          <w:rFonts w:ascii="Arial" w:hAnsi="Arial" w:cs="Arial"/>
          <w:sz w:val="24"/>
          <w:szCs w:val="24"/>
        </w:rPr>
        <w:t xml:space="preserve"> or another property</w:t>
      </w:r>
      <w:r w:rsidRPr="00B21893">
        <w:rPr>
          <w:rFonts w:ascii="Arial" w:hAnsi="Arial" w:cs="Arial"/>
          <w:sz w:val="24"/>
          <w:szCs w:val="24"/>
        </w:rPr>
        <w:t>,</w:t>
      </w:r>
      <w:r w:rsidR="007C410A" w:rsidRPr="00B21893">
        <w:rPr>
          <w:rFonts w:ascii="Arial" w:hAnsi="Arial" w:cs="Arial"/>
          <w:sz w:val="24"/>
          <w:szCs w:val="24"/>
        </w:rPr>
        <w:t xml:space="preserve"> by </w:t>
      </w:r>
      <w:r w:rsidRPr="00B21893">
        <w:rPr>
          <w:rFonts w:ascii="Arial" w:hAnsi="Arial" w:cs="Arial"/>
          <w:sz w:val="24"/>
          <w:szCs w:val="24"/>
        </w:rPr>
        <w:t>MDC</w:t>
      </w:r>
      <w:r w:rsidR="007C410A" w:rsidRPr="00B21893">
        <w:rPr>
          <w:rFonts w:ascii="Arial" w:hAnsi="Arial" w:cs="Arial"/>
          <w:sz w:val="24"/>
          <w:szCs w:val="24"/>
        </w:rPr>
        <w:t xml:space="preserve">, and it started within six months of the end of the earlier tenancy, and that tenant was a successor under her/his previous tenancy. This is relevant where a resident has succeeded to a property that is not suited to their needs (because it has spare bedrooms or is an accessible property not required by a member of the household) and </w:t>
      </w:r>
      <w:r w:rsidRPr="00B21893">
        <w:rPr>
          <w:rFonts w:ascii="Arial" w:hAnsi="Arial" w:cs="Arial"/>
          <w:sz w:val="24"/>
          <w:szCs w:val="24"/>
        </w:rPr>
        <w:t>MDC</w:t>
      </w:r>
      <w:r w:rsidR="007C410A" w:rsidRPr="00B21893">
        <w:rPr>
          <w:rFonts w:ascii="Arial" w:hAnsi="Arial" w:cs="Arial"/>
          <w:sz w:val="24"/>
          <w:szCs w:val="24"/>
        </w:rPr>
        <w:t xml:space="preserve"> has offered an alternative secure tenancy </w:t>
      </w:r>
      <w:r w:rsidR="00AC5CB4" w:rsidRPr="00B21893">
        <w:rPr>
          <w:rFonts w:ascii="Arial" w:hAnsi="Arial" w:cs="Arial"/>
          <w:sz w:val="24"/>
          <w:szCs w:val="24"/>
        </w:rPr>
        <w:t>by way of ground 15A of Schedule 2 of the Housing Act 1985</w:t>
      </w:r>
      <w:r w:rsidR="007C410A" w:rsidRPr="00B21893">
        <w:rPr>
          <w:rFonts w:ascii="Arial" w:hAnsi="Arial" w:cs="Arial"/>
          <w:sz w:val="24"/>
          <w:szCs w:val="24"/>
        </w:rPr>
        <w:t xml:space="preserve">. </w:t>
      </w:r>
    </w:p>
    <w:p w14:paraId="74C048E6" w14:textId="77777777" w:rsidR="00074967" w:rsidRPr="00B21893" w:rsidRDefault="00074967" w:rsidP="00823F43">
      <w:pPr>
        <w:pStyle w:val="ListParagraph"/>
        <w:spacing w:line="276" w:lineRule="auto"/>
        <w:ind w:left="567" w:hanging="567"/>
        <w:jc w:val="both"/>
        <w:rPr>
          <w:rFonts w:ascii="Arial" w:hAnsi="Arial" w:cs="Arial"/>
          <w:sz w:val="24"/>
          <w:szCs w:val="24"/>
        </w:rPr>
      </w:pPr>
    </w:p>
    <w:p w14:paraId="6D6C9EFD" w14:textId="1EEC9AFE" w:rsidR="0018751F" w:rsidRPr="00B21893" w:rsidRDefault="007C410A"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Assignment by way of mutual exchange does not count as succession. However if the tenant was </w:t>
      </w:r>
      <w:r w:rsidR="00920FD7" w:rsidRPr="00B21893">
        <w:rPr>
          <w:rFonts w:ascii="Arial" w:hAnsi="Arial" w:cs="Arial"/>
          <w:sz w:val="24"/>
          <w:szCs w:val="24"/>
        </w:rPr>
        <w:t xml:space="preserve">themselves </w:t>
      </w:r>
      <w:r w:rsidRPr="00B21893">
        <w:rPr>
          <w:rFonts w:ascii="Arial" w:hAnsi="Arial" w:cs="Arial"/>
          <w:sz w:val="24"/>
          <w:szCs w:val="24"/>
        </w:rPr>
        <w:t xml:space="preserve">a successor, s/he will remain a successor in her/his new property. </w:t>
      </w:r>
    </w:p>
    <w:p w14:paraId="066E4EFA" w14:textId="77777777" w:rsidR="0018751F" w:rsidRPr="00B21893" w:rsidRDefault="0018751F" w:rsidP="00823F43">
      <w:pPr>
        <w:pStyle w:val="ListParagraph"/>
        <w:spacing w:line="276" w:lineRule="auto"/>
        <w:ind w:left="567"/>
        <w:jc w:val="both"/>
        <w:rPr>
          <w:rFonts w:ascii="Arial" w:hAnsi="Arial" w:cs="Arial"/>
          <w:sz w:val="24"/>
          <w:szCs w:val="24"/>
        </w:rPr>
      </w:pPr>
    </w:p>
    <w:p w14:paraId="108E717F" w14:textId="4A63EF94" w:rsidR="0018751F" w:rsidRPr="00B21893" w:rsidRDefault="007C410A"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The right of succession is linked to the tenancy and not the property. Therefore, in certain circumstances, set out below, a successor may be offered an alternative suitable council home by </w:t>
      </w:r>
      <w:r w:rsidR="00920FD7" w:rsidRPr="00B21893">
        <w:rPr>
          <w:rFonts w:ascii="Arial" w:hAnsi="Arial" w:cs="Arial"/>
          <w:sz w:val="24"/>
          <w:szCs w:val="24"/>
        </w:rPr>
        <w:t>MDC</w:t>
      </w:r>
      <w:r w:rsidRPr="00B21893">
        <w:rPr>
          <w:rFonts w:ascii="Arial" w:hAnsi="Arial" w:cs="Arial"/>
          <w:sz w:val="24"/>
          <w:szCs w:val="24"/>
        </w:rPr>
        <w:t xml:space="preserve"> instead of being allowed to remain in their current home. For instance: </w:t>
      </w:r>
    </w:p>
    <w:p w14:paraId="22411143" w14:textId="77777777" w:rsidR="0018751F" w:rsidRPr="00B21893" w:rsidRDefault="0018751F" w:rsidP="00823F43">
      <w:pPr>
        <w:pStyle w:val="ListParagraph"/>
        <w:spacing w:line="276" w:lineRule="auto"/>
        <w:ind w:left="567" w:hanging="567"/>
        <w:jc w:val="both"/>
        <w:rPr>
          <w:rFonts w:ascii="Arial" w:hAnsi="Arial" w:cs="Arial"/>
          <w:sz w:val="24"/>
          <w:szCs w:val="24"/>
        </w:rPr>
      </w:pPr>
    </w:p>
    <w:p w14:paraId="4DAA351D" w14:textId="76EAE218" w:rsidR="00AC5CB4" w:rsidRPr="00B21893" w:rsidRDefault="007C410A" w:rsidP="00B21893">
      <w:pPr>
        <w:pStyle w:val="ListParagraph"/>
        <w:numPr>
          <w:ilvl w:val="0"/>
          <w:numId w:val="43"/>
        </w:numPr>
        <w:spacing w:line="276" w:lineRule="auto"/>
        <w:ind w:left="1440"/>
        <w:jc w:val="both"/>
        <w:rPr>
          <w:rFonts w:ascii="Arial" w:hAnsi="Arial" w:cs="Arial"/>
          <w:sz w:val="24"/>
          <w:szCs w:val="24"/>
        </w:rPr>
      </w:pPr>
      <w:r w:rsidRPr="00B21893">
        <w:rPr>
          <w:rFonts w:ascii="Arial" w:hAnsi="Arial" w:cs="Arial"/>
          <w:sz w:val="24"/>
          <w:szCs w:val="24"/>
        </w:rPr>
        <w:t xml:space="preserve">Under occupation - </w:t>
      </w:r>
      <w:r w:rsidR="00AC5CB4" w:rsidRPr="00B21893">
        <w:rPr>
          <w:rFonts w:ascii="Arial" w:hAnsi="Arial" w:cs="Arial"/>
          <w:sz w:val="24"/>
          <w:szCs w:val="24"/>
        </w:rPr>
        <w:t>if</w:t>
      </w:r>
      <w:r w:rsidRPr="00B21893">
        <w:rPr>
          <w:rFonts w:ascii="Arial" w:hAnsi="Arial" w:cs="Arial"/>
          <w:sz w:val="24"/>
          <w:szCs w:val="24"/>
        </w:rPr>
        <w:t xml:space="preserve"> the resident succeeding to tenancy is a family member (i.e. not the deceased tenant’s spouse or registered civil partner), and the property is larger than they need, s/he will be offered one reasonable offer of a suitable alternative Council home either through the choice-based lettings system or by direct offer.</w:t>
      </w:r>
    </w:p>
    <w:p w14:paraId="2B3D8A8D" w14:textId="77777777" w:rsidR="00AC5CB4" w:rsidRPr="00B21893" w:rsidRDefault="00AC5CB4" w:rsidP="00B21893">
      <w:pPr>
        <w:pStyle w:val="ListParagraph"/>
        <w:spacing w:line="276" w:lineRule="auto"/>
        <w:ind w:left="1440"/>
        <w:jc w:val="both"/>
        <w:rPr>
          <w:rFonts w:ascii="Arial" w:hAnsi="Arial" w:cs="Arial"/>
          <w:sz w:val="24"/>
          <w:szCs w:val="24"/>
        </w:rPr>
      </w:pPr>
    </w:p>
    <w:p w14:paraId="745EB4B6" w14:textId="2BF0B10D" w:rsidR="0018751F" w:rsidRPr="00B21893" w:rsidRDefault="007C410A" w:rsidP="00B21893">
      <w:pPr>
        <w:pStyle w:val="ListParagraph"/>
        <w:spacing w:line="276" w:lineRule="auto"/>
        <w:ind w:left="1440"/>
        <w:jc w:val="both"/>
        <w:rPr>
          <w:rFonts w:ascii="Arial" w:hAnsi="Arial" w:cs="Arial"/>
          <w:sz w:val="24"/>
          <w:szCs w:val="24"/>
        </w:rPr>
      </w:pPr>
      <w:r w:rsidRPr="00B21893">
        <w:rPr>
          <w:rFonts w:ascii="Arial" w:hAnsi="Arial" w:cs="Arial"/>
          <w:sz w:val="24"/>
          <w:szCs w:val="24"/>
        </w:rPr>
        <w:t xml:space="preserve">Or </w:t>
      </w:r>
    </w:p>
    <w:p w14:paraId="04D18668" w14:textId="77777777" w:rsidR="0018751F" w:rsidRPr="00B21893" w:rsidRDefault="0018751F" w:rsidP="00B21893">
      <w:pPr>
        <w:pStyle w:val="ListParagraph"/>
        <w:spacing w:line="276" w:lineRule="auto"/>
        <w:ind w:left="1287" w:hanging="567"/>
        <w:jc w:val="both"/>
        <w:rPr>
          <w:rFonts w:ascii="Arial" w:hAnsi="Arial" w:cs="Arial"/>
          <w:sz w:val="24"/>
          <w:szCs w:val="24"/>
        </w:rPr>
      </w:pPr>
    </w:p>
    <w:p w14:paraId="21766880" w14:textId="5F22ACA5" w:rsidR="00AC5CB4" w:rsidRPr="00B21893" w:rsidRDefault="007C410A" w:rsidP="00B21893">
      <w:pPr>
        <w:pStyle w:val="ListParagraph"/>
        <w:numPr>
          <w:ilvl w:val="0"/>
          <w:numId w:val="43"/>
        </w:numPr>
        <w:spacing w:line="276" w:lineRule="auto"/>
        <w:ind w:left="1440"/>
        <w:jc w:val="both"/>
        <w:rPr>
          <w:rFonts w:ascii="Arial" w:hAnsi="Arial" w:cs="Arial"/>
          <w:sz w:val="24"/>
          <w:szCs w:val="24"/>
        </w:rPr>
      </w:pPr>
      <w:r w:rsidRPr="00B21893">
        <w:rPr>
          <w:rFonts w:ascii="Arial" w:hAnsi="Arial" w:cs="Arial"/>
          <w:sz w:val="24"/>
          <w:szCs w:val="24"/>
        </w:rPr>
        <w:lastRenderedPageBreak/>
        <w:t xml:space="preserve">Accessible or adapted home - </w:t>
      </w:r>
      <w:r w:rsidR="00AC5CB4" w:rsidRPr="00B21893">
        <w:rPr>
          <w:rFonts w:ascii="Arial" w:hAnsi="Arial" w:cs="Arial"/>
          <w:sz w:val="24"/>
          <w:szCs w:val="24"/>
        </w:rPr>
        <w:t>i</w:t>
      </w:r>
      <w:r w:rsidRPr="00B21893">
        <w:rPr>
          <w:rFonts w:ascii="Arial" w:hAnsi="Arial" w:cs="Arial"/>
          <w:sz w:val="24"/>
          <w:szCs w:val="24"/>
        </w:rPr>
        <w:t xml:space="preserve">f the resident succeeding to tenancy is a family member (i.e. not the deceased tenant’s spouse or civil partner), </w:t>
      </w:r>
      <w:r w:rsidR="00AC5CB4" w:rsidRPr="00B21893">
        <w:rPr>
          <w:rFonts w:ascii="Arial" w:hAnsi="Arial" w:cs="Arial"/>
          <w:sz w:val="24"/>
          <w:szCs w:val="24"/>
        </w:rPr>
        <w:t xml:space="preserve">and </w:t>
      </w:r>
      <w:r w:rsidRPr="00B21893">
        <w:rPr>
          <w:rFonts w:ascii="Arial" w:hAnsi="Arial" w:cs="Arial"/>
          <w:sz w:val="24"/>
          <w:szCs w:val="24"/>
        </w:rPr>
        <w:t>the property is accessible to or adapted for the needs of resident with mobility problems and the successor has no such needs, s/he will be offered one reasonable offer of suitable alternative Council home either through the choice-based lettings system or by direct offer.</w:t>
      </w:r>
    </w:p>
    <w:p w14:paraId="7E565AAA" w14:textId="77777777" w:rsidR="00AC5CB4" w:rsidRPr="00B21893" w:rsidRDefault="00AC5CB4" w:rsidP="00B21893">
      <w:pPr>
        <w:pStyle w:val="ListParagraph"/>
        <w:spacing w:line="276" w:lineRule="auto"/>
        <w:ind w:left="1440"/>
        <w:jc w:val="both"/>
        <w:rPr>
          <w:rFonts w:ascii="Arial" w:hAnsi="Arial" w:cs="Arial"/>
          <w:sz w:val="24"/>
          <w:szCs w:val="24"/>
        </w:rPr>
      </w:pPr>
    </w:p>
    <w:p w14:paraId="27C7136E" w14:textId="1816033F" w:rsidR="007C410A" w:rsidRPr="00B21893" w:rsidRDefault="007C410A" w:rsidP="00B2189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If, in either case</w:t>
      </w:r>
      <w:r w:rsidR="00AC5CB4" w:rsidRPr="00B21893">
        <w:rPr>
          <w:rFonts w:ascii="Arial" w:hAnsi="Arial" w:cs="Arial"/>
          <w:sz w:val="24"/>
          <w:szCs w:val="24"/>
        </w:rPr>
        <w:t xml:space="preserve"> set out above</w:t>
      </w:r>
      <w:r w:rsidRPr="00B21893">
        <w:rPr>
          <w:rFonts w:ascii="Arial" w:hAnsi="Arial" w:cs="Arial"/>
          <w:sz w:val="24"/>
          <w:szCs w:val="24"/>
        </w:rPr>
        <w:t xml:space="preserve">, the resident chooses not to accept and move into the suitable alternative home </w:t>
      </w:r>
      <w:r w:rsidR="00AC5CB4" w:rsidRPr="00B21893">
        <w:rPr>
          <w:rFonts w:ascii="Arial" w:hAnsi="Arial" w:cs="Arial"/>
          <w:sz w:val="24"/>
          <w:szCs w:val="24"/>
        </w:rPr>
        <w:t>MDC</w:t>
      </w:r>
      <w:r w:rsidRPr="00B21893">
        <w:rPr>
          <w:rFonts w:ascii="Arial" w:hAnsi="Arial" w:cs="Arial"/>
          <w:sz w:val="24"/>
          <w:szCs w:val="24"/>
        </w:rPr>
        <w:t xml:space="preserve"> may take appropriate legal action to end their right to live in the existing home (</w:t>
      </w:r>
      <w:r w:rsidR="00AC5CB4" w:rsidRPr="00B21893">
        <w:rPr>
          <w:rFonts w:ascii="Arial" w:hAnsi="Arial" w:cs="Arial"/>
          <w:sz w:val="24"/>
          <w:szCs w:val="24"/>
        </w:rPr>
        <w:t xml:space="preserve">using </w:t>
      </w:r>
      <w:r w:rsidRPr="00B21893">
        <w:rPr>
          <w:rFonts w:ascii="Arial" w:hAnsi="Arial" w:cs="Arial"/>
          <w:sz w:val="24"/>
          <w:szCs w:val="24"/>
        </w:rPr>
        <w:t>ground 15A</w:t>
      </w:r>
      <w:r w:rsidR="00AC5CB4" w:rsidRPr="00B21893">
        <w:rPr>
          <w:rFonts w:ascii="Arial" w:hAnsi="Arial" w:cs="Arial"/>
          <w:sz w:val="24"/>
          <w:szCs w:val="24"/>
        </w:rPr>
        <w:t xml:space="preserve"> of </w:t>
      </w:r>
      <w:r w:rsidRPr="00B21893">
        <w:rPr>
          <w:rFonts w:ascii="Arial" w:hAnsi="Arial" w:cs="Arial"/>
          <w:sz w:val="24"/>
          <w:szCs w:val="24"/>
        </w:rPr>
        <w:t>Schedule 2 of the Housing Act 1985)</w:t>
      </w:r>
    </w:p>
    <w:p w14:paraId="66B09DBB" w14:textId="685C0AD1" w:rsidR="0083468E" w:rsidRPr="00B21893" w:rsidRDefault="0083468E" w:rsidP="00823F43">
      <w:pPr>
        <w:tabs>
          <w:tab w:val="left" w:pos="567"/>
        </w:tabs>
        <w:spacing w:after="0"/>
        <w:jc w:val="both"/>
        <w:rPr>
          <w:rFonts w:ascii="Arial" w:hAnsi="Arial" w:cs="Arial"/>
          <w:sz w:val="24"/>
          <w:szCs w:val="24"/>
        </w:rPr>
      </w:pPr>
    </w:p>
    <w:p w14:paraId="209FF98F" w14:textId="351008C4" w:rsidR="0083468E" w:rsidRPr="00B21893" w:rsidRDefault="0083468E" w:rsidP="00823F4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t xml:space="preserve">Mutual </w:t>
      </w:r>
      <w:r w:rsidR="00F56C1E" w:rsidRPr="00B21893">
        <w:rPr>
          <w:rFonts w:ascii="Arial" w:hAnsi="Arial" w:cs="Arial"/>
          <w:b/>
          <w:bCs/>
          <w:sz w:val="24"/>
          <w:szCs w:val="24"/>
        </w:rPr>
        <w:t>E</w:t>
      </w:r>
      <w:r w:rsidRPr="00B21893">
        <w:rPr>
          <w:rFonts w:ascii="Arial" w:hAnsi="Arial" w:cs="Arial"/>
          <w:b/>
          <w:bCs/>
          <w:sz w:val="24"/>
          <w:szCs w:val="24"/>
        </w:rPr>
        <w:t>xchange</w:t>
      </w:r>
    </w:p>
    <w:p w14:paraId="1E3C3548" w14:textId="1F874C00" w:rsidR="0083468E" w:rsidRPr="00B21893" w:rsidRDefault="00AC5CB4"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A </w:t>
      </w:r>
      <w:r w:rsidR="0083468E" w:rsidRPr="00B21893">
        <w:rPr>
          <w:rFonts w:ascii="Arial" w:hAnsi="Arial" w:cs="Arial"/>
          <w:sz w:val="24"/>
          <w:szCs w:val="24"/>
        </w:rPr>
        <w:t>mutual exchange is an agreement between two or more parties to swap their tenancies and properties. Where they meet the criteria and there are no grounds to</w:t>
      </w:r>
      <w:r w:rsidR="00C57A36" w:rsidRPr="00B21893">
        <w:rPr>
          <w:rFonts w:ascii="Arial" w:hAnsi="Arial" w:cs="Arial"/>
          <w:sz w:val="24"/>
          <w:szCs w:val="24"/>
        </w:rPr>
        <w:t xml:space="preserve"> </w:t>
      </w:r>
      <w:r w:rsidR="0083468E" w:rsidRPr="00B21893">
        <w:rPr>
          <w:rFonts w:ascii="Arial" w:hAnsi="Arial" w:cs="Arial"/>
          <w:sz w:val="24"/>
          <w:szCs w:val="24"/>
        </w:rPr>
        <w:t xml:space="preserve">refuse the request, tenants have the right to exchange. </w:t>
      </w:r>
    </w:p>
    <w:p w14:paraId="5C3D52C1" w14:textId="77777777" w:rsidR="0029101A" w:rsidRPr="00B21893" w:rsidRDefault="0029101A" w:rsidP="00823F43">
      <w:pPr>
        <w:pStyle w:val="ListParagraph"/>
        <w:spacing w:line="276" w:lineRule="auto"/>
        <w:ind w:left="567"/>
        <w:jc w:val="both"/>
        <w:rPr>
          <w:rFonts w:ascii="Arial" w:hAnsi="Arial" w:cs="Arial"/>
          <w:sz w:val="24"/>
          <w:szCs w:val="24"/>
        </w:rPr>
      </w:pPr>
    </w:p>
    <w:p w14:paraId="5439489F" w14:textId="247B53C0" w:rsidR="00DA1F15" w:rsidRPr="00B21893" w:rsidRDefault="0029101A" w:rsidP="00B2189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MDC’s Mutual Exchange Policy</w:t>
      </w:r>
      <w:r w:rsidR="00AF15C2" w:rsidRPr="00B21893">
        <w:rPr>
          <w:rFonts w:ascii="Arial" w:hAnsi="Arial" w:cs="Arial"/>
          <w:sz w:val="24"/>
          <w:szCs w:val="24"/>
        </w:rPr>
        <w:t xml:space="preserve"> provides more details on our </w:t>
      </w:r>
      <w:r w:rsidR="00BE2963" w:rsidRPr="00B21893">
        <w:rPr>
          <w:rFonts w:ascii="Arial" w:hAnsi="Arial" w:cs="Arial"/>
          <w:sz w:val="24"/>
          <w:szCs w:val="24"/>
        </w:rPr>
        <w:t xml:space="preserve">approach to delivering </w:t>
      </w:r>
      <w:r w:rsidR="00AC5CB4" w:rsidRPr="00B21893">
        <w:rPr>
          <w:rFonts w:ascii="Arial" w:hAnsi="Arial" w:cs="Arial"/>
          <w:sz w:val="24"/>
          <w:szCs w:val="24"/>
        </w:rPr>
        <w:t>our</w:t>
      </w:r>
      <w:r w:rsidR="00BE2963" w:rsidRPr="00B21893">
        <w:rPr>
          <w:rFonts w:ascii="Arial" w:hAnsi="Arial" w:cs="Arial"/>
          <w:sz w:val="24"/>
          <w:szCs w:val="24"/>
        </w:rPr>
        <w:t xml:space="preserve"> Mutual Exchange scheme in line with government legislations and the relevant guidelines</w:t>
      </w:r>
      <w:r w:rsidR="00AC5CB4" w:rsidRPr="00B21893">
        <w:rPr>
          <w:rFonts w:ascii="Arial" w:hAnsi="Arial" w:cs="Arial"/>
          <w:sz w:val="24"/>
          <w:szCs w:val="24"/>
        </w:rPr>
        <w:t>.</w:t>
      </w:r>
    </w:p>
    <w:p w14:paraId="6DFF109C" w14:textId="77777777" w:rsidR="00DA1F15" w:rsidRPr="00B21893" w:rsidRDefault="00DA1F15" w:rsidP="00B21893">
      <w:pPr>
        <w:pStyle w:val="ListParagraph"/>
        <w:rPr>
          <w:rFonts w:ascii="Arial" w:hAnsi="Arial" w:cs="Arial"/>
          <w:sz w:val="24"/>
          <w:szCs w:val="24"/>
        </w:rPr>
      </w:pPr>
    </w:p>
    <w:p w14:paraId="36B71B45" w14:textId="77777777" w:rsidR="00DA1F15" w:rsidRPr="00B21893" w:rsidRDefault="00DA1F15" w:rsidP="00B2189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t xml:space="preserve">Tenancy Fraud </w:t>
      </w:r>
    </w:p>
    <w:p w14:paraId="299DF711" w14:textId="77777777" w:rsidR="00DA1F15" w:rsidRPr="00B21893" w:rsidRDefault="00DA1F15" w:rsidP="00B2189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It is important that the people living in council properties are those that need them most and the council takes various steps to ensure that this is the case, from ensuring we allocate the property to the most appropriate person, to following up allegations of instances of tenancy fraud. </w:t>
      </w:r>
    </w:p>
    <w:p w14:paraId="2C1C0837" w14:textId="77777777" w:rsidR="00DA1F15" w:rsidRPr="00B21893" w:rsidRDefault="00DA1F15" w:rsidP="00B21893">
      <w:pPr>
        <w:pStyle w:val="ListParagraph"/>
        <w:ind w:left="1138"/>
        <w:jc w:val="both"/>
        <w:rPr>
          <w:rFonts w:ascii="Arial" w:hAnsi="Arial" w:cs="Arial"/>
          <w:sz w:val="24"/>
          <w:szCs w:val="24"/>
        </w:rPr>
      </w:pPr>
    </w:p>
    <w:p w14:paraId="4A73F2EE" w14:textId="77777777" w:rsidR="00DA1F15" w:rsidRPr="00B21893" w:rsidRDefault="00DA1F15" w:rsidP="00B2189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Examples of tenancy fraud include:</w:t>
      </w:r>
    </w:p>
    <w:p w14:paraId="5D3B8334" w14:textId="20F17334"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Subletting;</w:t>
      </w:r>
    </w:p>
    <w:p w14:paraId="4F254D90" w14:textId="67F747A8"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Unauthorised assignment (including by mutual exchange);</w:t>
      </w:r>
    </w:p>
    <w:p w14:paraId="651D67D3" w14:textId="4F673B61"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Wrongly claimed succession;</w:t>
      </w:r>
    </w:p>
    <w:p w14:paraId="3424F3AD" w14:textId="720DE692"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Obtaining the tenancy by false statement or knowingly withholding relevant information;</w:t>
      </w:r>
    </w:p>
    <w:p w14:paraId="08A50E84" w14:textId="3A54494B"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Not using the property as an only or main home.</w:t>
      </w:r>
    </w:p>
    <w:p w14:paraId="3F2A8930" w14:textId="77777777" w:rsidR="00DA1F15" w:rsidRPr="00B21893" w:rsidRDefault="00DA1F15" w:rsidP="00B21893">
      <w:pPr>
        <w:pStyle w:val="ListParagraph"/>
        <w:ind w:left="1138"/>
        <w:jc w:val="both"/>
        <w:rPr>
          <w:rFonts w:ascii="Arial" w:hAnsi="Arial" w:cs="Arial"/>
          <w:sz w:val="24"/>
          <w:szCs w:val="24"/>
        </w:rPr>
      </w:pPr>
    </w:p>
    <w:p w14:paraId="5DDDC8DB" w14:textId="096A392E" w:rsidR="00DA1F15" w:rsidRDefault="00DA1F15" w:rsidP="00B2189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We are committed to tackling tenancy fraud and will use a number of key methods to prevent it and take appropriate action to ensure that the council’s housing stock is only occupied by those with a legal right to be in that property.</w:t>
      </w:r>
    </w:p>
    <w:p w14:paraId="4B204385" w14:textId="77777777" w:rsidR="00B21893" w:rsidRPr="00B21893" w:rsidRDefault="00B21893" w:rsidP="00B21893">
      <w:pPr>
        <w:pStyle w:val="ListParagraph"/>
        <w:spacing w:line="276" w:lineRule="auto"/>
        <w:ind w:left="567"/>
        <w:jc w:val="both"/>
        <w:rPr>
          <w:rFonts w:ascii="Arial" w:hAnsi="Arial" w:cs="Arial"/>
          <w:sz w:val="24"/>
          <w:szCs w:val="24"/>
        </w:rPr>
      </w:pPr>
    </w:p>
    <w:p w14:paraId="6E7F8C71" w14:textId="77777777" w:rsidR="00DA1F15" w:rsidRPr="00B21893" w:rsidRDefault="00DA1F15" w:rsidP="00B21893">
      <w:pPr>
        <w:pStyle w:val="ListParagraph"/>
        <w:spacing w:line="276" w:lineRule="auto"/>
        <w:ind w:left="567"/>
        <w:jc w:val="both"/>
        <w:rPr>
          <w:rFonts w:ascii="Arial" w:hAnsi="Arial" w:cs="Arial"/>
          <w:b/>
          <w:bCs/>
          <w:sz w:val="24"/>
          <w:szCs w:val="24"/>
        </w:rPr>
      </w:pPr>
      <w:r w:rsidRPr="00B21893">
        <w:rPr>
          <w:rFonts w:ascii="Arial" w:hAnsi="Arial" w:cs="Arial"/>
          <w:b/>
          <w:bCs/>
          <w:sz w:val="24"/>
          <w:szCs w:val="24"/>
        </w:rPr>
        <w:t>Prevention</w:t>
      </w:r>
    </w:p>
    <w:p w14:paraId="4564A035" w14:textId="1170E951" w:rsidR="00DA1F15" w:rsidRPr="00B21893" w:rsidRDefault="00DA1F15" w:rsidP="00B2189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In order to prevent tenancy fraud MDC will:</w:t>
      </w:r>
    </w:p>
    <w:p w14:paraId="4062EADE" w14:textId="047C7910"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lastRenderedPageBreak/>
        <w:t>Work closely with other departments and share information appropriately;</w:t>
      </w:r>
    </w:p>
    <w:p w14:paraId="2DD929C8" w14:textId="363D060C"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Carry out rigorous checks at registration and allocation stage including requiring tenants to provide photographic ID;</w:t>
      </w:r>
    </w:p>
    <w:p w14:paraId="7F249D0B" w14:textId="5E1DCCC7"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Introduce photographing new tenants at sign up to eliminate ID abuse and misrepresentation;</w:t>
      </w:r>
    </w:p>
    <w:p w14:paraId="3AA9A276" w14:textId="3845E701"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Ensure that new tenants are made fully aware of their responsibilities under the tenancy agreement;</w:t>
      </w:r>
    </w:p>
    <w:p w14:paraId="18CA5F43" w14:textId="6CBBDCBD"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Undertake ad hoc tenancy health checks;</w:t>
      </w:r>
    </w:p>
    <w:p w14:paraId="26B55160" w14:textId="09598078" w:rsidR="00DA1F15" w:rsidRPr="00B21893" w:rsidRDefault="00DA1F15" w:rsidP="00B21893">
      <w:pPr>
        <w:numPr>
          <w:ilvl w:val="0"/>
          <w:numId w:val="36"/>
        </w:numPr>
        <w:spacing w:after="0"/>
        <w:jc w:val="both"/>
        <w:rPr>
          <w:rFonts w:ascii="Arial" w:hAnsi="Arial" w:cs="Arial"/>
          <w:sz w:val="24"/>
          <w:szCs w:val="24"/>
        </w:rPr>
      </w:pPr>
      <w:r w:rsidRPr="00B21893">
        <w:rPr>
          <w:rFonts w:ascii="Arial" w:hAnsi="Arial" w:cs="Arial"/>
          <w:sz w:val="24"/>
          <w:szCs w:val="24"/>
        </w:rPr>
        <w:t>Signatures to be checked against information held on tenancy file for RTB applicants.</w:t>
      </w:r>
    </w:p>
    <w:p w14:paraId="14FFA705" w14:textId="77777777" w:rsidR="00DA1F15" w:rsidRPr="00B21893" w:rsidRDefault="00DA1F15" w:rsidP="00B21893">
      <w:pPr>
        <w:pStyle w:val="ListParagraph"/>
        <w:ind w:left="1138"/>
        <w:jc w:val="both"/>
        <w:rPr>
          <w:rFonts w:ascii="Arial" w:hAnsi="Arial" w:cs="Arial"/>
          <w:sz w:val="24"/>
          <w:szCs w:val="24"/>
        </w:rPr>
      </w:pPr>
    </w:p>
    <w:p w14:paraId="08E7AAF4" w14:textId="0D080DFD" w:rsidR="00DA1F15" w:rsidRPr="00B21893" w:rsidRDefault="00DA1F15" w:rsidP="00B2189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We will investigate all reports of tenancy fraud to establish the facts and in investigating potential tenancy fraud cases, the council will have regard to both civil and criminal remedies, and in the case of successful criminal or civil action, the council will publicise the results in order to deter further tenancy fraud.</w:t>
      </w:r>
    </w:p>
    <w:p w14:paraId="398AB2B0" w14:textId="77777777" w:rsidR="0029101A" w:rsidRPr="00B21893" w:rsidRDefault="0029101A" w:rsidP="00823F43">
      <w:pPr>
        <w:spacing w:after="0"/>
        <w:jc w:val="both"/>
        <w:rPr>
          <w:rFonts w:ascii="Arial" w:hAnsi="Arial" w:cs="Arial"/>
          <w:sz w:val="24"/>
          <w:szCs w:val="24"/>
        </w:rPr>
      </w:pPr>
    </w:p>
    <w:p w14:paraId="7D62ABAA" w14:textId="46B8DFEB" w:rsidR="00A5475F" w:rsidRPr="00B21893" w:rsidRDefault="00A5475F" w:rsidP="00823F4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t>Responsibility and decision making</w:t>
      </w:r>
    </w:p>
    <w:p w14:paraId="4D609A3C" w14:textId="2A48A59F" w:rsidR="00A5475F" w:rsidRPr="00B21893" w:rsidRDefault="00A5475F"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The below illustrates the structure for responsibility</w:t>
      </w:r>
      <w:r w:rsidR="00AC5CB4" w:rsidRPr="00B21893">
        <w:rPr>
          <w:rFonts w:ascii="Arial" w:hAnsi="Arial" w:cs="Arial"/>
          <w:sz w:val="24"/>
          <w:szCs w:val="24"/>
        </w:rPr>
        <w:t>,</w:t>
      </w:r>
      <w:r w:rsidRPr="00B21893">
        <w:rPr>
          <w:rFonts w:ascii="Arial" w:hAnsi="Arial" w:cs="Arial"/>
          <w:sz w:val="24"/>
          <w:szCs w:val="24"/>
        </w:rPr>
        <w:t xml:space="preserve"> and decision making</w:t>
      </w:r>
      <w:r w:rsidR="00AC5CB4" w:rsidRPr="00B21893">
        <w:rPr>
          <w:rFonts w:ascii="Arial" w:hAnsi="Arial" w:cs="Arial"/>
          <w:sz w:val="24"/>
          <w:szCs w:val="24"/>
        </w:rPr>
        <w:t>,</w:t>
      </w:r>
      <w:r w:rsidRPr="00B21893">
        <w:rPr>
          <w:rFonts w:ascii="Arial" w:hAnsi="Arial" w:cs="Arial"/>
          <w:sz w:val="24"/>
          <w:szCs w:val="24"/>
        </w:rPr>
        <w:t xml:space="preserve"> in relation to this policy:</w:t>
      </w:r>
    </w:p>
    <w:p w14:paraId="23997861" w14:textId="77777777" w:rsidR="00823F43" w:rsidRPr="00B21893" w:rsidRDefault="00823F43" w:rsidP="00823F43">
      <w:pPr>
        <w:pStyle w:val="ListParagraph"/>
        <w:spacing w:line="276" w:lineRule="auto"/>
        <w:ind w:left="567"/>
        <w:jc w:val="both"/>
        <w:rPr>
          <w:rFonts w:ascii="Arial" w:hAnsi="Arial" w:cs="Arial"/>
          <w:sz w:val="24"/>
          <w:szCs w:val="24"/>
        </w:rPr>
      </w:pPr>
    </w:p>
    <w:p w14:paraId="0E09C4D8" w14:textId="77777777" w:rsidR="00A5475F" w:rsidRPr="00B21893" w:rsidRDefault="00A5475F" w:rsidP="00B21893">
      <w:pPr>
        <w:spacing w:after="0"/>
        <w:ind w:firstLine="567"/>
        <w:jc w:val="both"/>
        <w:rPr>
          <w:rFonts w:ascii="Arial" w:hAnsi="Arial" w:cs="Arial"/>
          <w:b/>
          <w:sz w:val="24"/>
          <w:szCs w:val="24"/>
        </w:rPr>
      </w:pPr>
      <w:r w:rsidRPr="00B21893">
        <w:rPr>
          <w:rFonts w:ascii="Arial" w:hAnsi="Arial" w:cs="Arial"/>
          <w:b/>
          <w:sz w:val="24"/>
          <w:szCs w:val="24"/>
        </w:rPr>
        <w:t>Head of Housing</w:t>
      </w:r>
    </w:p>
    <w:p w14:paraId="27D14C2A" w14:textId="77777777" w:rsidR="00A5475F" w:rsidRPr="00B21893" w:rsidRDefault="00A5475F" w:rsidP="00B21893">
      <w:pPr>
        <w:spacing w:after="0"/>
        <w:ind w:firstLine="567"/>
        <w:jc w:val="both"/>
        <w:rPr>
          <w:rFonts w:ascii="Arial" w:hAnsi="Arial" w:cs="Arial"/>
          <w:sz w:val="24"/>
          <w:szCs w:val="24"/>
        </w:rPr>
      </w:pPr>
      <w:r w:rsidRPr="00B21893">
        <w:rPr>
          <w:rFonts w:ascii="Arial" w:hAnsi="Arial" w:cs="Arial"/>
          <w:sz w:val="24"/>
          <w:szCs w:val="24"/>
        </w:rPr>
        <w:t>Overall responsibility for approval of the policy</w:t>
      </w:r>
    </w:p>
    <w:p w14:paraId="2363BBDB" w14:textId="77777777" w:rsidR="00A5475F" w:rsidRPr="00B21893" w:rsidRDefault="00A5475F" w:rsidP="00823F43">
      <w:pPr>
        <w:spacing w:after="0"/>
        <w:ind w:left="709" w:hanging="709"/>
        <w:jc w:val="both"/>
        <w:rPr>
          <w:rFonts w:ascii="Arial" w:hAnsi="Arial" w:cs="Arial"/>
          <w:b/>
          <w:sz w:val="24"/>
          <w:szCs w:val="24"/>
        </w:rPr>
      </w:pPr>
    </w:p>
    <w:p w14:paraId="442A76CF" w14:textId="77777777" w:rsidR="00A5475F" w:rsidRPr="00B21893" w:rsidRDefault="00A5475F" w:rsidP="00B21893">
      <w:pPr>
        <w:spacing w:after="0"/>
        <w:ind w:firstLine="567"/>
        <w:jc w:val="both"/>
        <w:rPr>
          <w:rFonts w:ascii="Arial" w:hAnsi="Arial" w:cs="Arial"/>
          <w:b/>
          <w:sz w:val="24"/>
          <w:szCs w:val="24"/>
        </w:rPr>
      </w:pPr>
      <w:r w:rsidRPr="00B21893">
        <w:rPr>
          <w:rFonts w:ascii="Arial" w:hAnsi="Arial" w:cs="Arial"/>
          <w:b/>
          <w:sz w:val="24"/>
          <w:szCs w:val="24"/>
        </w:rPr>
        <w:t>Performance and Insight Manager</w:t>
      </w:r>
    </w:p>
    <w:p w14:paraId="2C1CAA28" w14:textId="3C50F9A9" w:rsidR="00A5475F" w:rsidRPr="00B21893" w:rsidRDefault="00A5475F" w:rsidP="00B21893">
      <w:pPr>
        <w:spacing w:after="0"/>
        <w:ind w:left="567"/>
        <w:jc w:val="both"/>
        <w:rPr>
          <w:rFonts w:ascii="Arial" w:hAnsi="Arial" w:cs="Arial"/>
          <w:sz w:val="24"/>
          <w:szCs w:val="24"/>
        </w:rPr>
      </w:pPr>
      <w:r w:rsidRPr="00B21893">
        <w:rPr>
          <w:rFonts w:ascii="Arial" w:hAnsi="Arial" w:cs="Arial"/>
          <w:sz w:val="24"/>
          <w:szCs w:val="24"/>
        </w:rPr>
        <w:t>Responsible for ensuring consultation on the policy is carried out with involved</w:t>
      </w:r>
      <w:r w:rsidR="00DE74A6" w:rsidRPr="00B21893">
        <w:rPr>
          <w:rFonts w:ascii="Arial" w:hAnsi="Arial" w:cs="Arial"/>
          <w:sz w:val="24"/>
          <w:szCs w:val="24"/>
        </w:rPr>
        <w:t xml:space="preserve"> </w:t>
      </w:r>
      <w:r w:rsidRPr="00B21893">
        <w:rPr>
          <w:rFonts w:ascii="Arial" w:hAnsi="Arial" w:cs="Arial"/>
          <w:sz w:val="24"/>
          <w:szCs w:val="24"/>
        </w:rPr>
        <w:t>customers</w:t>
      </w:r>
    </w:p>
    <w:p w14:paraId="7909F528" w14:textId="77777777" w:rsidR="00DD3335" w:rsidRPr="00B21893" w:rsidRDefault="00DD3335" w:rsidP="00B21893">
      <w:pPr>
        <w:spacing w:after="0"/>
        <w:ind w:left="567" w:hanging="709"/>
        <w:jc w:val="both"/>
        <w:rPr>
          <w:rFonts w:ascii="Arial" w:hAnsi="Arial" w:cs="Arial"/>
          <w:sz w:val="24"/>
          <w:szCs w:val="24"/>
        </w:rPr>
      </w:pPr>
    </w:p>
    <w:p w14:paraId="5F1B1F47" w14:textId="77777777" w:rsidR="00A5475F" w:rsidRPr="00B21893" w:rsidRDefault="00A5475F" w:rsidP="00B21893">
      <w:pPr>
        <w:spacing w:after="0"/>
        <w:ind w:firstLine="567"/>
        <w:jc w:val="both"/>
        <w:rPr>
          <w:rFonts w:ascii="Arial" w:hAnsi="Arial" w:cs="Arial"/>
          <w:b/>
          <w:sz w:val="24"/>
          <w:szCs w:val="24"/>
        </w:rPr>
      </w:pPr>
      <w:r w:rsidRPr="00B21893">
        <w:rPr>
          <w:rFonts w:ascii="Arial" w:hAnsi="Arial" w:cs="Arial"/>
          <w:b/>
          <w:sz w:val="24"/>
          <w:szCs w:val="24"/>
        </w:rPr>
        <w:t>Operational Managers</w:t>
      </w:r>
    </w:p>
    <w:p w14:paraId="2E8BC9B3" w14:textId="4006996E" w:rsidR="00A5475F" w:rsidRPr="00B21893" w:rsidRDefault="00A5475F" w:rsidP="00B21893">
      <w:pPr>
        <w:spacing w:after="0"/>
        <w:ind w:left="567"/>
        <w:jc w:val="both"/>
        <w:rPr>
          <w:rFonts w:ascii="Arial" w:hAnsi="Arial" w:cs="Arial"/>
          <w:sz w:val="24"/>
          <w:szCs w:val="24"/>
        </w:rPr>
      </w:pPr>
      <w:r w:rsidRPr="00B21893">
        <w:rPr>
          <w:rFonts w:ascii="Arial" w:hAnsi="Arial" w:cs="Arial"/>
          <w:sz w:val="24"/>
          <w:szCs w:val="24"/>
        </w:rPr>
        <w:t xml:space="preserve">All managers are responsible for reading, understanding and monitoring the delivery of services in line with the policy   </w:t>
      </w:r>
    </w:p>
    <w:p w14:paraId="5313DD0D" w14:textId="77777777" w:rsidR="00AC5CB4" w:rsidRPr="00B21893" w:rsidRDefault="00AC5CB4" w:rsidP="00B21893">
      <w:pPr>
        <w:spacing w:after="0"/>
        <w:ind w:left="567" w:hanging="709"/>
        <w:jc w:val="both"/>
        <w:rPr>
          <w:rFonts w:ascii="Arial" w:hAnsi="Arial" w:cs="Arial"/>
          <w:sz w:val="24"/>
          <w:szCs w:val="24"/>
        </w:rPr>
      </w:pPr>
    </w:p>
    <w:p w14:paraId="10EC72D8" w14:textId="77777777" w:rsidR="00A5475F" w:rsidRPr="00B21893" w:rsidRDefault="00A5475F" w:rsidP="00B21893">
      <w:pPr>
        <w:spacing w:after="0"/>
        <w:ind w:firstLine="567"/>
        <w:jc w:val="both"/>
        <w:rPr>
          <w:rFonts w:ascii="Arial" w:hAnsi="Arial" w:cs="Arial"/>
          <w:b/>
          <w:sz w:val="24"/>
          <w:szCs w:val="24"/>
        </w:rPr>
      </w:pPr>
      <w:r w:rsidRPr="00B21893">
        <w:rPr>
          <w:rFonts w:ascii="Arial" w:hAnsi="Arial" w:cs="Arial"/>
          <w:b/>
          <w:sz w:val="24"/>
          <w:szCs w:val="24"/>
        </w:rPr>
        <w:t xml:space="preserve">All staff </w:t>
      </w:r>
    </w:p>
    <w:p w14:paraId="59FE774C" w14:textId="77777777" w:rsidR="00A5475F" w:rsidRPr="00B21893" w:rsidRDefault="00A5475F" w:rsidP="00B21893">
      <w:pPr>
        <w:spacing w:after="0"/>
        <w:ind w:left="567"/>
        <w:jc w:val="both"/>
        <w:rPr>
          <w:rFonts w:ascii="Arial" w:hAnsi="Arial" w:cs="Arial"/>
          <w:sz w:val="24"/>
          <w:szCs w:val="24"/>
        </w:rPr>
      </w:pPr>
      <w:r w:rsidRPr="00B21893">
        <w:rPr>
          <w:rFonts w:ascii="Arial" w:hAnsi="Arial" w:cs="Arial"/>
          <w:sz w:val="24"/>
          <w:szCs w:val="24"/>
        </w:rPr>
        <w:t>All staff are responsible for reading, understanding and delivering services in line with the policy.</w:t>
      </w:r>
    </w:p>
    <w:p w14:paraId="12338C9B" w14:textId="77777777" w:rsidR="00A5475F" w:rsidRPr="00B21893" w:rsidRDefault="00A5475F" w:rsidP="00823F43">
      <w:pPr>
        <w:spacing w:after="0"/>
        <w:ind w:left="567" w:hanging="141"/>
        <w:jc w:val="both"/>
        <w:rPr>
          <w:rFonts w:ascii="Arial" w:hAnsi="Arial" w:cs="Arial"/>
          <w:sz w:val="24"/>
          <w:szCs w:val="24"/>
        </w:rPr>
      </w:pPr>
    </w:p>
    <w:p w14:paraId="5EA5E2A9" w14:textId="78D3D378" w:rsidR="00A5475F" w:rsidRPr="00B21893" w:rsidRDefault="00A5475F" w:rsidP="00823F4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t>Monitoring and reporting</w:t>
      </w:r>
    </w:p>
    <w:p w14:paraId="1CF54AC2" w14:textId="61971A36" w:rsidR="00A5475F" w:rsidRPr="00B21893" w:rsidRDefault="00A5475F"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Key Performance Indicators (KPI’s) and any outcome measures relating to this policy</w:t>
      </w:r>
      <w:r w:rsidR="00AC5CB4" w:rsidRPr="00B21893">
        <w:rPr>
          <w:rFonts w:ascii="Arial" w:hAnsi="Arial" w:cs="Arial"/>
          <w:sz w:val="24"/>
          <w:szCs w:val="24"/>
        </w:rPr>
        <w:t>,</w:t>
      </w:r>
      <w:r w:rsidRPr="00B21893">
        <w:rPr>
          <w:rFonts w:ascii="Arial" w:hAnsi="Arial" w:cs="Arial"/>
          <w:sz w:val="24"/>
          <w:szCs w:val="24"/>
        </w:rPr>
        <w:t xml:space="preserve"> and any related policies</w:t>
      </w:r>
      <w:r w:rsidR="00AC5CB4" w:rsidRPr="00B21893">
        <w:rPr>
          <w:rFonts w:ascii="Arial" w:hAnsi="Arial" w:cs="Arial"/>
          <w:sz w:val="24"/>
          <w:szCs w:val="24"/>
        </w:rPr>
        <w:t>,</w:t>
      </w:r>
      <w:r w:rsidRPr="00B21893">
        <w:rPr>
          <w:rFonts w:ascii="Arial" w:hAnsi="Arial" w:cs="Arial"/>
          <w:sz w:val="24"/>
          <w:szCs w:val="24"/>
        </w:rPr>
        <w:t xml:space="preserve"> will be monitored and reported to</w:t>
      </w:r>
      <w:r w:rsidR="00AC5CB4" w:rsidRPr="00B21893">
        <w:rPr>
          <w:rFonts w:ascii="Arial" w:hAnsi="Arial" w:cs="Arial"/>
          <w:sz w:val="24"/>
          <w:szCs w:val="24"/>
        </w:rPr>
        <w:t xml:space="preserve"> the</w:t>
      </w:r>
      <w:r w:rsidRPr="00B21893">
        <w:rPr>
          <w:rFonts w:ascii="Arial" w:hAnsi="Arial" w:cs="Arial"/>
          <w:sz w:val="24"/>
          <w:szCs w:val="24"/>
        </w:rPr>
        <w:t xml:space="preserve"> </w:t>
      </w:r>
      <w:r w:rsidR="004B793C" w:rsidRPr="00B21893">
        <w:rPr>
          <w:rFonts w:ascii="Arial" w:hAnsi="Arial" w:cs="Arial"/>
          <w:sz w:val="24"/>
          <w:szCs w:val="24"/>
        </w:rPr>
        <w:t>Housing Management and Support services Operational group on a quarterly basis</w:t>
      </w:r>
      <w:r w:rsidR="00AC5CB4" w:rsidRPr="00B21893">
        <w:rPr>
          <w:rFonts w:ascii="Arial" w:hAnsi="Arial" w:cs="Arial"/>
          <w:sz w:val="24"/>
          <w:szCs w:val="24"/>
        </w:rPr>
        <w:t>.</w:t>
      </w:r>
    </w:p>
    <w:p w14:paraId="4F6097A4" w14:textId="77777777" w:rsidR="00DE74A6" w:rsidRPr="00B21893" w:rsidRDefault="00DE74A6" w:rsidP="00823F43">
      <w:pPr>
        <w:pStyle w:val="ListParagraph"/>
        <w:spacing w:line="276" w:lineRule="auto"/>
        <w:ind w:left="567"/>
        <w:jc w:val="both"/>
        <w:rPr>
          <w:rFonts w:ascii="Arial" w:hAnsi="Arial" w:cs="Arial"/>
          <w:sz w:val="24"/>
          <w:szCs w:val="24"/>
        </w:rPr>
      </w:pPr>
    </w:p>
    <w:p w14:paraId="0941B465" w14:textId="7EA62F36" w:rsidR="00A5475F" w:rsidRPr="00B21893" w:rsidRDefault="00A5475F" w:rsidP="00823F43">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lastRenderedPageBreak/>
        <w:t>KPI’s will include:</w:t>
      </w:r>
    </w:p>
    <w:p w14:paraId="38A9BF2B" w14:textId="77777777" w:rsidR="00CA0DEA" w:rsidRPr="00B21893" w:rsidRDefault="00CA0DEA" w:rsidP="00823F43">
      <w:pPr>
        <w:spacing w:after="0"/>
        <w:jc w:val="both"/>
        <w:rPr>
          <w:rFonts w:ascii="Arial" w:hAnsi="Arial" w:cs="Arial"/>
          <w:sz w:val="24"/>
          <w:szCs w:val="24"/>
        </w:rPr>
      </w:pPr>
    </w:p>
    <w:p w14:paraId="38B237D8" w14:textId="7CD57BBB" w:rsidR="00A5475F" w:rsidRPr="00B21893" w:rsidRDefault="00A5475F" w:rsidP="00823F43">
      <w:pPr>
        <w:numPr>
          <w:ilvl w:val="0"/>
          <w:numId w:val="36"/>
        </w:numPr>
        <w:spacing w:after="0"/>
        <w:jc w:val="both"/>
        <w:rPr>
          <w:rFonts w:ascii="Arial" w:hAnsi="Arial" w:cs="Arial"/>
          <w:sz w:val="24"/>
          <w:szCs w:val="24"/>
        </w:rPr>
      </w:pPr>
      <w:r w:rsidRPr="00B21893">
        <w:rPr>
          <w:rFonts w:ascii="Arial" w:hAnsi="Arial" w:cs="Arial"/>
          <w:sz w:val="24"/>
          <w:szCs w:val="24"/>
        </w:rPr>
        <w:t>Customers in receipt of support as a proportion of all customers</w:t>
      </w:r>
      <w:r w:rsidR="00AC5CB4" w:rsidRPr="00B21893">
        <w:rPr>
          <w:rFonts w:ascii="Arial" w:hAnsi="Arial" w:cs="Arial"/>
          <w:sz w:val="24"/>
          <w:szCs w:val="24"/>
        </w:rPr>
        <w:t>,</w:t>
      </w:r>
    </w:p>
    <w:p w14:paraId="2815394E" w14:textId="24F8A747" w:rsidR="00A5475F" w:rsidRPr="00B21893" w:rsidRDefault="00A5475F" w:rsidP="00823F43">
      <w:pPr>
        <w:numPr>
          <w:ilvl w:val="0"/>
          <w:numId w:val="36"/>
        </w:numPr>
        <w:spacing w:after="0"/>
        <w:jc w:val="both"/>
        <w:rPr>
          <w:rFonts w:ascii="Arial" w:hAnsi="Arial" w:cs="Arial"/>
          <w:sz w:val="24"/>
          <w:szCs w:val="24"/>
        </w:rPr>
      </w:pPr>
      <w:r w:rsidRPr="00B21893">
        <w:rPr>
          <w:rFonts w:ascii="Arial" w:hAnsi="Arial" w:cs="Arial"/>
          <w:sz w:val="24"/>
          <w:szCs w:val="24"/>
        </w:rPr>
        <w:t>Tenancy turnover rates</w:t>
      </w:r>
      <w:r w:rsidR="00AC5CB4" w:rsidRPr="00B21893">
        <w:rPr>
          <w:rFonts w:ascii="Arial" w:hAnsi="Arial" w:cs="Arial"/>
          <w:sz w:val="24"/>
          <w:szCs w:val="24"/>
        </w:rPr>
        <w:t>,</w:t>
      </w:r>
    </w:p>
    <w:p w14:paraId="51442506" w14:textId="72360976" w:rsidR="00A5475F" w:rsidRPr="00B21893" w:rsidRDefault="00A5475F" w:rsidP="00823F43">
      <w:pPr>
        <w:numPr>
          <w:ilvl w:val="0"/>
          <w:numId w:val="36"/>
        </w:numPr>
        <w:spacing w:after="0"/>
        <w:jc w:val="both"/>
        <w:rPr>
          <w:rFonts w:ascii="Arial" w:hAnsi="Arial" w:cs="Arial"/>
          <w:sz w:val="24"/>
          <w:szCs w:val="24"/>
        </w:rPr>
      </w:pPr>
      <w:r w:rsidRPr="00B21893">
        <w:rPr>
          <w:rFonts w:ascii="Arial" w:hAnsi="Arial" w:cs="Arial"/>
          <w:sz w:val="24"/>
          <w:szCs w:val="24"/>
        </w:rPr>
        <w:t>Number of tenants evicted as a % of all units (where a vulnerability was identified)</w:t>
      </w:r>
      <w:r w:rsidR="00AC5CB4" w:rsidRPr="00B21893">
        <w:rPr>
          <w:rFonts w:ascii="Arial" w:hAnsi="Arial" w:cs="Arial"/>
          <w:sz w:val="24"/>
          <w:szCs w:val="24"/>
        </w:rPr>
        <w:t>,</w:t>
      </w:r>
    </w:p>
    <w:p w14:paraId="3E4D4028" w14:textId="00873C01" w:rsidR="00A5475F" w:rsidRPr="00B21893" w:rsidRDefault="00A5475F" w:rsidP="00823F43">
      <w:pPr>
        <w:numPr>
          <w:ilvl w:val="0"/>
          <w:numId w:val="36"/>
        </w:numPr>
        <w:spacing w:after="0"/>
        <w:jc w:val="both"/>
        <w:rPr>
          <w:rFonts w:ascii="Arial" w:hAnsi="Arial" w:cs="Arial"/>
          <w:sz w:val="24"/>
          <w:szCs w:val="24"/>
        </w:rPr>
      </w:pPr>
      <w:r w:rsidRPr="00B21893">
        <w:rPr>
          <w:rFonts w:ascii="Arial" w:hAnsi="Arial" w:cs="Arial"/>
          <w:sz w:val="24"/>
          <w:szCs w:val="24"/>
        </w:rPr>
        <w:t>Number of reasonable adjustment</w:t>
      </w:r>
      <w:r w:rsidR="00265D88" w:rsidRPr="00B21893">
        <w:rPr>
          <w:rFonts w:ascii="Arial" w:hAnsi="Arial" w:cs="Arial"/>
          <w:sz w:val="24"/>
          <w:szCs w:val="24"/>
        </w:rPr>
        <w:t>s</w:t>
      </w:r>
      <w:r w:rsidRPr="00B21893">
        <w:rPr>
          <w:rFonts w:ascii="Arial" w:hAnsi="Arial" w:cs="Arial"/>
          <w:sz w:val="24"/>
          <w:szCs w:val="24"/>
        </w:rPr>
        <w:t xml:space="preserve"> recorded</w:t>
      </w:r>
      <w:r w:rsidR="00AC5CB4" w:rsidRPr="00B21893">
        <w:rPr>
          <w:rFonts w:ascii="Arial" w:hAnsi="Arial" w:cs="Arial"/>
          <w:sz w:val="24"/>
          <w:szCs w:val="24"/>
        </w:rPr>
        <w:t>.</w:t>
      </w:r>
    </w:p>
    <w:p w14:paraId="34A3045E" w14:textId="77777777" w:rsidR="00A5475F" w:rsidRPr="00B21893" w:rsidRDefault="00A5475F" w:rsidP="00823F43">
      <w:pPr>
        <w:spacing w:after="0"/>
        <w:jc w:val="both"/>
        <w:rPr>
          <w:rFonts w:ascii="Arial" w:hAnsi="Arial" w:cs="Arial"/>
          <w:sz w:val="24"/>
          <w:szCs w:val="24"/>
        </w:rPr>
      </w:pPr>
    </w:p>
    <w:p w14:paraId="6CEB48B6" w14:textId="458EAAA2" w:rsidR="00A5475F" w:rsidRPr="00B21893" w:rsidRDefault="00A5475F" w:rsidP="00823F4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t>Review</w:t>
      </w:r>
    </w:p>
    <w:p w14:paraId="195161A9" w14:textId="5838F48A" w:rsidR="00A5475F" w:rsidRPr="00B21893" w:rsidRDefault="00A5475F" w:rsidP="00246F97">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This Policy will be reviewed every three years or in line with changes in legislation / regulation, whichever is the sooner</w:t>
      </w:r>
      <w:r w:rsidR="00AC5CB4" w:rsidRPr="00B21893">
        <w:rPr>
          <w:rFonts w:ascii="Arial" w:hAnsi="Arial" w:cs="Arial"/>
          <w:sz w:val="24"/>
          <w:szCs w:val="24"/>
        </w:rPr>
        <w:t>. U</w:t>
      </w:r>
      <w:r w:rsidRPr="00B21893">
        <w:rPr>
          <w:rFonts w:ascii="Arial" w:hAnsi="Arial" w:cs="Arial"/>
          <w:sz w:val="24"/>
          <w:szCs w:val="24"/>
        </w:rPr>
        <w:t xml:space="preserve">pdates or recommendations for changes will be presented to the </w:t>
      </w:r>
      <w:r w:rsidR="00AE1557" w:rsidRPr="00B21893">
        <w:rPr>
          <w:rFonts w:ascii="Arial" w:hAnsi="Arial" w:cs="Arial"/>
          <w:sz w:val="24"/>
          <w:szCs w:val="24"/>
        </w:rPr>
        <w:t>Assistant Director of Housing</w:t>
      </w:r>
      <w:r w:rsidRPr="00B21893">
        <w:rPr>
          <w:rFonts w:ascii="Arial" w:hAnsi="Arial" w:cs="Arial"/>
          <w:sz w:val="24"/>
          <w:szCs w:val="24"/>
        </w:rPr>
        <w:t xml:space="preserve"> for approval.</w:t>
      </w:r>
    </w:p>
    <w:p w14:paraId="42BDF515" w14:textId="77777777" w:rsidR="00AE1557" w:rsidRPr="00B21893" w:rsidRDefault="00AE1557" w:rsidP="00823F43">
      <w:pPr>
        <w:spacing w:after="0"/>
        <w:ind w:left="567" w:hanging="567"/>
        <w:jc w:val="both"/>
        <w:rPr>
          <w:rFonts w:ascii="Arial" w:hAnsi="Arial" w:cs="Arial"/>
          <w:sz w:val="24"/>
          <w:szCs w:val="24"/>
        </w:rPr>
      </w:pPr>
    </w:p>
    <w:p w14:paraId="621C4777" w14:textId="16FFA0B6" w:rsidR="00A5475F" w:rsidRPr="00B21893" w:rsidRDefault="00DD3335" w:rsidP="00823F4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t>Equality Impact Assessment</w:t>
      </w:r>
    </w:p>
    <w:p w14:paraId="0582073B" w14:textId="493F0692" w:rsidR="00A203A6" w:rsidRPr="00B21893" w:rsidRDefault="00570AEA" w:rsidP="00246F97">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MDC complete an equality impact assessment (EIA) each time we develop or review a policy, procedure or service. The assessment is to help us ensure our decision making is fair and does not present any barriers or disadvantage to customers from any protected group (including disability) under the Equality Act 2010. An EIA has been completed to support this policy</w:t>
      </w:r>
      <w:r w:rsidR="00AC5CB4" w:rsidRPr="00B21893">
        <w:rPr>
          <w:rFonts w:ascii="Arial" w:hAnsi="Arial" w:cs="Arial"/>
          <w:sz w:val="24"/>
          <w:szCs w:val="24"/>
        </w:rPr>
        <w:t>.</w:t>
      </w:r>
    </w:p>
    <w:p w14:paraId="58DCD0C3" w14:textId="77777777" w:rsidR="00A5475F" w:rsidRPr="00B21893" w:rsidRDefault="00A5475F" w:rsidP="00823F43">
      <w:pPr>
        <w:spacing w:after="0"/>
        <w:jc w:val="both"/>
        <w:rPr>
          <w:rFonts w:ascii="Arial" w:hAnsi="Arial" w:cs="Arial"/>
          <w:sz w:val="24"/>
          <w:szCs w:val="24"/>
        </w:rPr>
      </w:pPr>
    </w:p>
    <w:p w14:paraId="2A41B257" w14:textId="7A4132A1" w:rsidR="00A5475F" w:rsidRPr="00B21893" w:rsidRDefault="00A5475F" w:rsidP="00823F43">
      <w:pPr>
        <w:pStyle w:val="ListParagraph"/>
        <w:numPr>
          <w:ilvl w:val="0"/>
          <w:numId w:val="39"/>
        </w:numPr>
        <w:spacing w:line="276" w:lineRule="auto"/>
        <w:ind w:left="567" w:hanging="567"/>
        <w:jc w:val="both"/>
        <w:rPr>
          <w:rFonts w:ascii="Arial" w:hAnsi="Arial" w:cs="Arial"/>
          <w:b/>
          <w:bCs/>
          <w:sz w:val="24"/>
          <w:szCs w:val="24"/>
        </w:rPr>
      </w:pPr>
      <w:r w:rsidRPr="00B21893">
        <w:rPr>
          <w:rFonts w:ascii="Arial" w:hAnsi="Arial" w:cs="Arial"/>
          <w:b/>
          <w:bCs/>
          <w:sz w:val="24"/>
          <w:szCs w:val="24"/>
        </w:rPr>
        <w:t>Complaints</w:t>
      </w:r>
    </w:p>
    <w:p w14:paraId="356383DB" w14:textId="1C0A3B56" w:rsidR="00A5475F" w:rsidRPr="00B21893" w:rsidRDefault="00A5475F" w:rsidP="00246F97">
      <w:pPr>
        <w:pStyle w:val="ListParagraph"/>
        <w:numPr>
          <w:ilvl w:val="1"/>
          <w:numId w:val="39"/>
        </w:numPr>
        <w:spacing w:line="276" w:lineRule="auto"/>
        <w:ind w:left="567" w:hanging="567"/>
        <w:jc w:val="both"/>
        <w:rPr>
          <w:rFonts w:ascii="Arial" w:hAnsi="Arial" w:cs="Arial"/>
          <w:sz w:val="24"/>
          <w:szCs w:val="24"/>
        </w:rPr>
      </w:pPr>
      <w:r w:rsidRPr="00B21893">
        <w:rPr>
          <w:rFonts w:ascii="Arial" w:hAnsi="Arial" w:cs="Arial"/>
          <w:sz w:val="24"/>
          <w:szCs w:val="24"/>
        </w:rPr>
        <w:t xml:space="preserve">If a customer is not satisfied with the service they have received, MDC’s Corporate Complaints Procedure can be followed. Whilst we strongly encourage customers to submit their complaint online at </w:t>
      </w:r>
      <w:hyperlink r:id="rId7" w:history="1">
        <w:r w:rsidR="00AC5CB4" w:rsidRPr="00B21893">
          <w:rPr>
            <w:rStyle w:val="Hyperlink"/>
            <w:rFonts w:ascii="Arial" w:hAnsi="Arial" w:cs="Arial"/>
            <w:sz w:val="24"/>
            <w:szCs w:val="24"/>
          </w:rPr>
          <w:t>www.mansfield.gov.uk/council-councillors-democracy/complaints-1</w:t>
        </w:r>
      </w:hyperlink>
      <w:r w:rsidR="00AC5CB4" w:rsidRPr="00B21893">
        <w:rPr>
          <w:rFonts w:ascii="Arial" w:hAnsi="Arial" w:cs="Arial"/>
          <w:sz w:val="24"/>
          <w:szCs w:val="24"/>
        </w:rPr>
        <w:t xml:space="preserve"> </w:t>
      </w:r>
      <w:r w:rsidRPr="00B21893">
        <w:rPr>
          <w:rFonts w:ascii="Arial" w:hAnsi="Arial" w:cs="Arial"/>
          <w:sz w:val="24"/>
          <w:szCs w:val="24"/>
        </w:rPr>
        <w:t xml:space="preserve"> so that issues can be handled by the relevant service area quickly</w:t>
      </w:r>
      <w:r w:rsidR="00AC5CB4" w:rsidRPr="00B21893">
        <w:rPr>
          <w:rFonts w:ascii="Arial" w:hAnsi="Arial" w:cs="Arial"/>
          <w:sz w:val="24"/>
          <w:szCs w:val="24"/>
        </w:rPr>
        <w:t>, c</w:t>
      </w:r>
      <w:r w:rsidRPr="00B21893">
        <w:rPr>
          <w:rFonts w:ascii="Arial" w:hAnsi="Arial" w:cs="Arial"/>
          <w:sz w:val="24"/>
          <w:szCs w:val="24"/>
        </w:rPr>
        <w:t>ustomers can also make a complaint</w:t>
      </w:r>
      <w:r w:rsidR="00AC5CB4" w:rsidRPr="00B21893">
        <w:rPr>
          <w:rFonts w:ascii="Arial" w:hAnsi="Arial" w:cs="Arial"/>
          <w:sz w:val="24"/>
          <w:szCs w:val="24"/>
        </w:rPr>
        <w:t xml:space="preserve"> in the following ways</w:t>
      </w:r>
      <w:r w:rsidRPr="00B21893">
        <w:rPr>
          <w:rFonts w:ascii="Arial" w:hAnsi="Arial" w:cs="Arial"/>
          <w:sz w:val="24"/>
          <w:szCs w:val="24"/>
        </w:rPr>
        <w:t>:</w:t>
      </w:r>
    </w:p>
    <w:p w14:paraId="45C630A4" w14:textId="77777777" w:rsidR="00A5475F" w:rsidRPr="00B21893" w:rsidRDefault="00A5475F" w:rsidP="00823F43">
      <w:pPr>
        <w:spacing w:after="0"/>
        <w:jc w:val="both"/>
        <w:rPr>
          <w:rFonts w:ascii="Arial" w:hAnsi="Arial" w:cs="Arial"/>
          <w:sz w:val="24"/>
          <w:szCs w:val="24"/>
        </w:rPr>
      </w:pPr>
    </w:p>
    <w:p w14:paraId="5F44D360" w14:textId="4F93069E" w:rsidR="00A5475F" w:rsidRPr="00B21893" w:rsidRDefault="00A5475F" w:rsidP="00B21893">
      <w:pPr>
        <w:numPr>
          <w:ilvl w:val="0"/>
          <w:numId w:val="36"/>
        </w:numPr>
        <w:spacing w:after="0"/>
        <w:jc w:val="both"/>
        <w:rPr>
          <w:rFonts w:ascii="Arial" w:hAnsi="Arial" w:cs="Arial"/>
          <w:sz w:val="24"/>
          <w:szCs w:val="24"/>
        </w:rPr>
      </w:pPr>
      <w:r w:rsidRPr="00B21893">
        <w:rPr>
          <w:rFonts w:ascii="Arial" w:hAnsi="Arial" w:cs="Arial"/>
          <w:sz w:val="24"/>
          <w:szCs w:val="24"/>
        </w:rPr>
        <w:t xml:space="preserve">In writing  </w:t>
      </w:r>
    </w:p>
    <w:p w14:paraId="6E6DF4DF" w14:textId="5671B3F6" w:rsidR="00A5475F" w:rsidRPr="00B21893" w:rsidRDefault="00A5475F" w:rsidP="00B21893">
      <w:pPr>
        <w:numPr>
          <w:ilvl w:val="0"/>
          <w:numId w:val="36"/>
        </w:numPr>
        <w:spacing w:after="0"/>
        <w:jc w:val="both"/>
        <w:rPr>
          <w:rFonts w:ascii="Arial" w:hAnsi="Arial" w:cs="Arial"/>
          <w:sz w:val="24"/>
          <w:szCs w:val="24"/>
        </w:rPr>
      </w:pPr>
      <w:r w:rsidRPr="00B21893">
        <w:rPr>
          <w:rFonts w:ascii="Arial" w:hAnsi="Arial" w:cs="Arial"/>
          <w:sz w:val="24"/>
          <w:szCs w:val="24"/>
        </w:rPr>
        <w:t>By telephone – 01632 463463</w:t>
      </w:r>
    </w:p>
    <w:p w14:paraId="0B57F78A" w14:textId="6311D907" w:rsidR="00A5475F" w:rsidRPr="00B21893" w:rsidRDefault="00A5475F" w:rsidP="00B21893">
      <w:pPr>
        <w:numPr>
          <w:ilvl w:val="0"/>
          <w:numId w:val="36"/>
        </w:numPr>
        <w:spacing w:after="0"/>
        <w:jc w:val="both"/>
        <w:rPr>
          <w:rFonts w:ascii="Arial" w:hAnsi="Arial" w:cs="Arial"/>
          <w:sz w:val="24"/>
          <w:szCs w:val="24"/>
        </w:rPr>
      </w:pPr>
      <w:r w:rsidRPr="00B21893">
        <w:rPr>
          <w:rFonts w:ascii="Arial" w:hAnsi="Arial" w:cs="Arial"/>
          <w:sz w:val="24"/>
          <w:szCs w:val="24"/>
        </w:rPr>
        <w:t xml:space="preserve">By email – </w:t>
      </w:r>
      <w:hyperlink r:id="rId8" w:history="1">
        <w:r w:rsidR="00205A54" w:rsidRPr="00B21893">
          <w:rPr>
            <w:rStyle w:val="Hyperlink"/>
            <w:rFonts w:ascii="Arial" w:hAnsi="Arial" w:cs="Arial"/>
            <w:sz w:val="24"/>
            <w:szCs w:val="24"/>
          </w:rPr>
          <w:t>mdc@mansfield.gov.uk</w:t>
        </w:r>
      </w:hyperlink>
      <w:r w:rsidR="00205A54" w:rsidRPr="00B21893">
        <w:rPr>
          <w:rFonts w:ascii="Arial" w:hAnsi="Arial" w:cs="Arial"/>
          <w:sz w:val="24"/>
          <w:szCs w:val="24"/>
        </w:rPr>
        <w:t xml:space="preserve"> </w:t>
      </w:r>
      <w:r w:rsidRPr="00B21893">
        <w:rPr>
          <w:rFonts w:ascii="Arial" w:hAnsi="Arial" w:cs="Arial"/>
          <w:sz w:val="24"/>
          <w:szCs w:val="24"/>
        </w:rPr>
        <w:t xml:space="preserve"> </w:t>
      </w:r>
    </w:p>
    <w:p w14:paraId="48C02B98" w14:textId="3EBFDAA1" w:rsidR="00A5475F" w:rsidRPr="00B21893" w:rsidRDefault="00A5475F" w:rsidP="00B21893">
      <w:pPr>
        <w:numPr>
          <w:ilvl w:val="0"/>
          <w:numId w:val="36"/>
        </w:numPr>
        <w:spacing w:after="0"/>
        <w:jc w:val="both"/>
        <w:rPr>
          <w:rFonts w:ascii="Arial" w:hAnsi="Arial" w:cs="Arial"/>
          <w:sz w:val="24"/>
          <w:szCs w:val="24"/>
        </w:rPr>
      </w:pPr>
      <w:r w:rsidRPr="00B21893">
        <w:rPr>
          <w:rFonts w:ascii="Arial" w:hAnsi="Arial" w:cs="Arial"/>
          <w:sz w:val="24"/>
          <w:szCs w:val="24"/>
        </w:rPr>
        <w:t>In person</w:t>
      </w:r>
    </w:p>
    <w:p w14:paraId="0F55447B" w14:textId="0086833B" w:rsidR="00A5475F" w:rsidRPr="00B21893" w:rsidRDefault="00A5475F" w:rsidP="00B21893">
      <w:pPr>
        <w:numPr>
          <w:ilvl w:val="0"/>
          <w:numId w:val="36"/>
        </w:numPr>
        <w:spacing w:after="0"/>
        <w:jc w:val="both"/>
        <w:rPr>
          <w:rFonts w:ascii="Arial" w:hAnsi="Arial" w:cs="Arial"/>
          <w:sz w:val="24"/>
          <w:szCs w:val="24"/>
        </w:rPr>
      </w:pPr>
      <w:r w:rsidRPr="00B21893">
        <w:rPr>
          <w:rFonts w:ascii="Arial" w:hAnsi="Arial" w:cs="Arial"/>
          <w:sz w:val="24"/>
          <w:szCs w:val="24"/>
        </w:rPr>
        <w:t xml:space="preserve">Through a representative or advocate (see section 4 of </w:t>
      </w:r>
      <w:r w:rsidR="00DA1F15" w:rsidRPr="00B21893">
        <w:rPr>
          <w:rFonts w:ascii="Arial" w:hAnsi="Arial" w:cs="Arial"/>
          <w:sz w:val="24"/>
          <w:szCs w:val="24"/>
        </w:rPr>
        <w:t xml:space="preserve">our Complaints </w:t>
      </w:r>
      <w:r w:rsidRPr="00B21893">
        <w:rPr>
          <w:rFonts w:ascii="Arial" w:hAnsi="Arial" w:cs="Arial"/>
          <w:sz w:val="24"/>
          <w:szCs w:val="24"/>
        </w:rPr>
        <w:t>policy)</w:t>
      </w:r>
    </w:p>
    <w:p w14:paraId="18310101" w14:textId="77777777" w:rsidR="0083468E" w:rsidRPr="00205A54" w:rsidRDefault="0083468E" w:rsidP="00823F43">
      <w:pPr>
        <w:spacing w:after="0"/>
        <w:jc w:val="both"/>
        <w:rPr>
          <w:rFonts w:ascii="Arial" w:hAnsi="Arial" w:cs="Arial"/>
          <w:sz w:val="24"/>
          <w:szCs w:val="24"/>
        </w:rPr>
      </w:pPr>
    </w:p>
    <w:p w14:paraId="627FD6E6" w14:textId="68D32C41" w:rsidR="549A225C" w:rsidRPr="00205A54" w:rsidRDefault="549A225C" w:rsidP="00823F43">
      <w:pPr>
        <w:spacing w:after="0"/>
        <w:jc w:val="both"/>
        <w:rPr>
          <w:rFonts w:ascii="Arial" w:hAnsi="Arial" w:cs="Arial"/>
          <w:sz w:val="24"/>
          <w:szCs w:val="24"/>
        </w:rPr>
      </w:pPr>
    </w:p>
    <w:p w14:paraId="400C2EBB" w14:textId="39A67B4C" w:rsidR="549A225C" w:rsidRPr="00205A54" w:rsidRDefault="549A225C" w:rsidP="00823F43">
      <w:pPr>
        <w:spacing w:after="0"/>
        <w:jc w:val="both"/>
        <w:rPr>
          <w:rFonts w:ascii="Arial" w:hAnsi="Arial" w:cs="Arial"/>
          <w:sz w:val="24"/>
          <w:szCs w:val="24"/>
        </w:rPr>
      </w:pPr>
    </w:p>
    <w:p w14:paraId="5ED93765" w14:textId="79762719" w:rsidR="549A225C" w:rsidRPr="00205A54" w:rsidRDefault="549A225C" w:rsidP="00823F43">
      <w:pPr>
        <w:spacing w:after="0"/>
        <w:jc w:val="both"/>
        <w:rPr>
          <w:rFonts w:ascii="Arial" w:hAnsi="Arial" w:cs="Arial"/>
          <w:sz w:val="24"/>
          <w:szCs w:val="24"/>
        </w:rPr>
      </w:pPr>
    </w:p>
    <w:sectPr w:rsidR="549A225C" w:rsidRPr="00205A54" w:rsidSect="00B21893">
      <w:headerReference w:type="even" r:id="rId9"/>
      <w:headerReference w:type="default" r:id="rId10"/>
      <w:footerReference w:type="even" r:id="rId11"/>
      <w:footerReference w:type="default" r:id="rId12"/>
      <w:headerReference w:type="first" r:id="rId13"/>
      <w:footerReference w:type="first" r:id="rId14"/>
      <w:pgSz w:w="11906" w:h="16838" w:code="9"/>
      <w:pgMar w:top="1560" w:right="1440" w:bottom="1440" w:left="1985" w:header="0"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D8EEE" w14:textId="77777777" w:rsidR="003B6B8B" w:rsidRDefault="003B6B8B" w:rsidP="00D82845">
      <w:pPr>
        <w:spacing w:after="0" w:line="240" w:lineRule="auto"/>
      </w:pPr>
      <w:r>
        <w:separator/>
      </w:r>
    </w:p>
  </w:endnote>
  <w:endnote w:type="continuationSeparator" w:id="0">
    <w:p w14:paraId="3726EA9D" w14:textId="77777777" w:rsidR="003B6B8B" w:rsidRDefault="003B6B8B" w:rsidP="00D8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B8D7E" w14:textId="77777777" w:rsidR="00A72929" w:rsidRDefault="00A72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8824B" w14:textId="0CA291ED" w:rsidR="6D6E1A16" w:rsidRDefault="6D6E1A16" w:rsidP="6D6E1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D6E1A16" w14:paraId="2DF55907" w14:textId="77777777" w:rsidTr="6D6E1A16">
      <w:trPr>
        <w:trHeight w:val="300"/>
      </w:trPr>
      <w:tc>
        <w:tcPr>
          <w:tcW w:w="3005" w:type="dxa"/>
        </w:tcPr>
        <w:p w14:paraId="65E104D5" w14:textId="153FCCBB" w:rsidR="6D6E1A16" w:rsidRDefault="6D6E1A16" w:rsidP="6D6E1A16">
          <w:pPr>
            <w:pStyle w:val="Header"/>
            <w:ind w:left="-115"/>
          </w:pPr>
        </w:p>
      </w:tc>
      <w:tc>
        <w:tcPr>
          <w:tcW w:w="3005" w:type="dxa"/>
        </w:tcPr>
        <w:p w14:paraId="777F0C02" w14:textId="1DAED714" w:rsidR="6D6E1A16" w:rsidRDefault="6D6E1A16" w:rsidP="6D6E1A16">
          <w:pPr>
            <w:pStyle w:val="Header"/>
            <w:jc w:val="center"/>
          </w:pPr>
        </w:p>
      </w:tc>
      <w:tc>
        <w:tcPr>
          <w:tcW w:w="3005" w:type="dxa"/>
        </w:tcPr>
        <w:p w14:paraId="74501FB9" w14:textId="5ED7E93F" w:rsidR="6D6E1A16" w:rsidRDefault="6D6E1A16" w:rsidP="6D6E1A16">
          <w:pPr>
            <w:pStyle w:val="Header"/>
            <w:ind w:right="-115"/>
            <w:jc w:val="right"/>
          </w:pPr>
        </w:p>
      </w:tc>
    </w:tr>
  </w:tbl>
  <w:p w14:paraId="2891B923" w14:textId="05DA7995" w:rsidR="6D6E1A16" w:rsidRDefault="6D6E1A16" w:rsidP="6D6E1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B1CEF" w14:textId="77777777" w:rsidR="003B6B8B" w:rsidRDefault="003B6B8B" w:rsidP="00D82845">
      <w:pPr>
        <w:spacing w:after="0" w:line="240" w:lineRule="auto"/>
      </w:pPr>
      <w:r>
        <w:separator/>
      </w:r>
    </w:p>
  </w:footnote>
  <w:footnote w:type="continuationSeparator" w:id="0">
    <w:p w14:paraId="2D4DBFC0" w14:textId="77777777" w:rsidR="003B6B8B" w:rsidRDefault="003B6B8B" w:rsidP="00D8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9E00D" w14:textId="77777777" w:rsidR="00A72929" w:rsidRDefault="00A72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09694" w14:textId="718A3983" w:rsidR="6D6E1A16" w:rsidRDefault="6D6E1A16" w:rsidP="6D6E1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8CC1F" w14:textId="77777777" w:rsidR="00410261" w:rsidRDefault="0024650C">
    <w:pPr>
      <w:pStyle w:val="Header"/>
    </w:pPr>
    <w:r w:rsidRPr="0024650C">
      <w:rPr>
        <w:noProof/>
        <w:lang w:eastAsia="en-GB"/>
      </w:rPr>
      <w:drawing>
        <wp:anchor distT="0" distB="0" distL="114300" distR="114300" simplePos="0" relativeHeight="251658240" behindDoc="1" locked="0" layoutInCell="1" allowOverlap="1" wp14:anchorId="31934AE3" wp14:editId="39F40C51">
          <wp:simplePos x="0" y="0"/>
          <wp:positionH relativeFrom="page">
            <wp:posOffset>-635</wp:posOffset>
          </wp:positionH>
          <wp:positionV relativeFrom="paragraph">
            <wp:posOffset>-4445</wp:posOffset>
          </wp:positionV>
          <wp:extent cx="7544886" cy="1066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randing\2019\Report covers\MDC report cover template.pd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4886"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2B09"/>
    <w:multiLevelType w:val="hybridMultilevel"/>
    <w:tmpl w:val="82625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332A10"/>
    <w:multiLevelType w:val="hybridMultilevel"/>
    <w:tmpl w:val="D2824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86B11"/>
    <w:multiLevelType w:val="hybridMultilevel"/>
    <w:tmpl w:val="7F0A086A"/>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3" w15:restartNumberingAfterBreak="0">
    <w:nsid w:val="0E54501B"/>
    <w:multiLevelType w:val="multilevel"/>
    <w:tmpl w:val="BC84BA12"/>
    <w:lvl w:ilvl="0">
      <w:start w:val="1"/>
      <w:numFmt w:val="decimal"/>
      <w:lvlText w:val="%1."/>
      <w:lvlJc w:val="left"/>
      <w:pPr>
        <w:ind w:left="960" w:hanging="600"/>
      </w:pPr>
      <w:rPr>
        <w:rFonts w:hint="default"/>
      </w:rPr>
    </w:lvl>
    <w:lvl w:ilvl="1">
      <w:start w:val="1"/>
      <w:numFmt w:val="decimal"/>
      <w:isLgl/>
      <w:lvlText w:val="%1.%2"/>
      <w:lvlJc w:val="left"/>
      <w:pPr>
        <w:ind w:left="1138"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FA1941"/>
    <w:multiLevelType w:val="hybridMultilevel"/>
    <w:tmpl w:val="91387920"/>
    <w:lvl w:ilvl="0" w:tplc="7048E00A">
      <w:start w:val="1"/>
      <w:numFmt w:val="lowerRoman"/>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5" w15:restartNumberingAfterBreak="0">
    <w:nsid w:val="113E1A65"/>
    <w:multiLevelType w:val="hybridMultilevel"/>
    <w:tmpl w:val="FDF67DC0"/>
    <w:lvl w:ilvl="0" w:tplc="F93072E4">
      <w:start w:val="1"/>
      <w:numFmt w:val="lowerRoman"/>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1A8B7733"/>
    <w:multiLevelType w:val="multilevel"/>
    <w:tmpl w:val="5A5C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F2FC3"/>
    <w:multiLevelType w:val="hybridMultilevel"/>
    <w:tmpl w:val="16CAAAB6"/>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20EB0FD7"/>
    <w:multiLevelType w:val="hybridMultilevel"/>
    <w:tmpl w:val="40E03800"/>
    <w:lvl w:ilvl="0" w:tplc="C4767F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0E55F6"/>
    <w:multiLevelType w:val="multilevel"/>
    <w:tmpl w:val="F01C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E4D92"/>
    <w:multiLevelType w:val="multilevel"/>
    <w:tmpl w:val="2722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03287"/>
    <w:multiLevelType w:val="hybridMultilevel"/>
    <w:tmpl w:val="2E6E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A5F75"/>
    <w:multiLevelType w:val="hybridMultilevel"/>
    <w:tmpl w:val="D212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86EBB"/>
    <w:multiLevelType w:val="hybridMultilevel"/>
    <w:tmpl w:val="8B2212C0"/>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4" w15:restartNumberingAfterBreak="0">
    <w:nsid w:val="2A634803"/>
    <w:multiLevelType w:val="hybridMultilevel"/>
    <w:tmpl w:val="91387920"/>
    <w:lvl w:ilvl="0" w:tplc="7048E00A">
      <w:start w:val="1"/>
      <w:numFmt w:val="lowerRoman"/>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5" w15:restartNumberingAfterBreak="0">
    <w:nsid w:val="2C0F73FE"/>
    <w:multiLevelType w:val="hybridMultilevel"/>
    <w:tmpl w:val="4352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E7991"/>
    <w:multiLevelType w:val="multilevel"/>
    <w:tmpl w:val="FBBE6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3D2165"/>
    <w:multiLevelType w:val="multilevel"/>
    <w:tmpl w:val="9AEE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A0C1A"/>
    <w:multiLevelType w:val="hybridMultilevel"/>
    <w:tmpl w:val="5D446FC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9" w15:restartNumberingAfterBreak="0">
    <w:nsid w:val="32DD7D4F"/>
    <w:multiLevelType w:val="multilevel"/>
    <w:tmpl w:val="0412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B2C12"/>
    <w:multiLevelType w:val="multilevel"/>
    <w:tmpl w:val="BB5A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D43325"/>
    <w:multiLevelType w:val="multilevel"/>
    <w:tmpl w:val="B678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E52F54"/>
    <w:multiLevelType w:val="hybridMultilevel"/>
    <w:tmpl w:val="98198224"/>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3F637D2B"/>
    <w:multiLevelType w:val="multilevel"/>
    <w:tmpl w:val="4EC43C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5F6C71"/>
    <w:multiLevelType w:val="hybridMultilevel"/>
    <w:tmpl w:val="15D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45BD3"/>
    <w:multiLevelType w:val="multilevel"/>
    <w:tmpl w:val="0D7CC1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7A5FEF"/>
    <w:multiLevelType w:val="hybridMultilevel"/>
    <w:tmpl w:val="5950D50E"/>
    <w:lvl w:ilvl="0" w:tplc="7048E00A">
      <w:start w:val="1"/>
      <w:numFmt w:val="lowerRoman"/>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7" w15:restartNumberingAfterBreak="0">
    <w:nsid w:val="47D577CC"/>
    <w:multiLevelType w:val="hybridMultilevel"/>
    <w:tmpl w:val="3D4C140E"/>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28" w15:restartNumberingAfterBreak="0">
    <w:nsid w:val="49285467"/>
    <w:multiLevelType w:val="multilevel"/>
    <w:tmpl w:val="8264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D43B73"/>
    <w:multiLevelType w:val="hybridMultilevel"/>
    <w:tmpl w:val="7D14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63FE3"/>
    <w:multiLevelType w:val="hybridMultilevel"/>
    <w:tmpl w:val="064AAC7C"/>
    <w:lvl w:ilvl="0" w:tplc="21CCDE8A">
      <w:start w:val="1"/>
      <w:numFmt w:val="lowerRoman"/>
      <w:lvlText w:val="%1."/>
      <w:lvlJc w:val="left"/>
      <w:pPr>
        <w:ind w:left="792" w:hanging="72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31" w15:restartNumberingAfterBreak="0">
    <w:nsid w:val="57D42B89"/>
    <w:multiLevelType w:val="hybridMultilevel"/>
    <w:tmpl w:val="91387920"/>
    <w:lvl w:ilvl="0" w:tplc="7048E00A">
      <w:start w:val="1"/>
      <w:numFmt w:val="lowerRoman"/>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2" w15:restartNumberingAfterBreak="0">
    <w:nsid w:val="5A676EBC"/>
    <w:multiLevelType w:val="hybridMultilevel"/>
    <w:tmpl w:val="CC580BA6"/>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33" w15:restartNumberingAfterBreak="0">
    <w:nsid w:val="5BA046D6"/>
    <w:multiLevelType w:val="hybridMultilevel"/>
    <w:tmpl w:val="A7A84AC2"/>
    <w:lvl w:ilvl="0" w:tplc="7048E00A">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4C2A1B"/>
    <w:multiLevelType w:val="hybridMultilevel"/>
    <w:tmpl w:val="192AC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CB29E0"/>
    <w:multiLevelType w:val="multilevel"/>
    <w:tmpl w:val="524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73808"/>
    <w:multiLevelType w:val="multilevel"/>
    <w:tmpl w:val="7336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C5F15"/>
    <w:multiLevelType w:val="multilevel"/>
    <w:tmpl w:val="F1A6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DA7633"/>
    <w:multiLevelType w:val="hybridMultilevel"/>
    <w:tmpl w:val="A50A0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8B70C3D"/>
    <w:multiLevelType w:val="hybridMultilevel"/>
    <w:tmpl w:val="5C4064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0" w15:restartNumberingAfterBreak="0">
    <w:nsid w:val="6EBA309A"/>
    <w:multiLevelType w:val="hybridMultilevel"/>
    <w:tmpl w:val="6D6E78A0"/>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1" w15:restartNumberingAfterBreak="0">
    <w:nsid w:val="701361D1"/>
    <w:multiLevelType w:val="hybridMultilevel"/>
    <w:tmpl w:val="C360C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50E5BB5"/>
    <w:multiLevelType w:val="hybridMultilevel"/>
    <w:tmpl w:val="FFC0F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5272F37"/>
    <w:multiLevelType w:val="hybridMultilevel"/>
    <w:tmpl w:val="1ED2C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6FD1301"/>
    <w:multiLevelType w:val="hybridMultilevel"/>
    <w:tmpl w:val="BC7A2310"/>
    <w:lvl w:ilvl="0" w:tplc="7048E00A">
      <w:start w:val="1"/>
      <w:numFmt w:val="lowerRoman"/>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45" w15:restartNumberingAfterBreak="0">
    <w:nsid w:val="7D323B78"/>
    <w:multiLevelType w:val="hybridMultilevel"/>
    <w:tmpl w:val="74463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037507">
    <w:abstractNumId w:val="43"/>
  </w:num>
  <w:num w:numId="2" w16cid:durableId="852456244">
    <w:abstractNumId w:val="42"/>
  </w:num>
  <w:num w:numId="3" w16cid:durableId="1108309602">
    <w:abstractNumId w:val="38"/>
  </w:num>
  <w:num w:numId="4" w16cid:durableId="80151955">
    <w:abstractNumId w:val="34"/>
  </w:num>
  <w:num w:numId="5" w16cid:durableId="772820830">
    <w:abstractNumId w:val="0"/>
  </w:num>
  <w:num w:numId="6" w16cid:durableId="433400708">
    <w:abstractNumId w:val="39"/>
  </w:num>
  <w:num w:numId="7" w16cid:durableId="369233879">
    <w:abstractNumId w:val="7"/>
  </w:num>
  <w:num w:numId="8" w16cid:durableId="1743798184">
    <w:abstractNumId w:val="27"/>
  </w:num>
  <w:num w:numId="9" w16cid:durableId="267783975">
    <w:abstractNumId w:val="32"/>
  </w:num>
  <w:num w:numId="10" w16cid:durableId="1425952132">
    <w:abstractNumId w:val="11"/>
  </w:num>
  <w:num w:numId="11" w16cid:durableId="794103719">
    <w:abstractNumId w:val="15"/>
  </w:num>
  <w:num w:numId="12" w16cid:durableId="480585617">
    <w:abstractNumId w:val="24"/>
  </w:num>
  <w:num w:numId="13" w16cid:durableId="992022367">
    <w:abstractNumId w:val="12"/>
  </w:num>
  <w:num w:numId="14" w16cid:durableId="1005084945">
    <w:abstractNumId w:val="1"/>
  </w:num>
  <w:num w:numId="15" w16cid:durableId="1209074327">
    <w:abstractNumId w:val="45"/>
  </w:num>
  <w:num w:numId="16" w16cid:durableId="359013990">
    <w:abstractNumId w:val="8"/>
  </w:num>
  <w:num w:numId="17" w16cid:durableId="1600797309">
    <w:abstractNumId w:val="16"/>
  </w:num>
  <w:num w:numId="18" w16cid:durableId="413405005">
    <w:abstractNumId w:val="36"/>
  </w:num>
  <w:num w:numId="19" w16cid:durableId="120923871">
    <w:abstractNumId w:val="20"/>
  </w:num>
  <w:num w:numId="20" w16cid:durableId="863253472">
    <w:abstractNumId w:val="6"/>
  </w:num>
  <w:num w:numId="21" w16cid:durableId="693768376">
    <w:abstractNumId w:val="25"/>
  </w:num>
  <w:num w:numId="22" w16cid:durableId="311566017">
    <w:abstractNumId w:val="35"/>
  </w:num>
  <w:num w:numId="23" w16cid:durableId="1770465256">
    <w:abstractNumId w:val="10"/>
  </w:num>
  <w:num w:numId="24" w16cid:durableId="618535302">
    <w:abstractNumId w:val="37"/>
  </w:num>
  <w:num w:numId="25" w16cid:durableId="609046367">
    <w:abstractNumId w:val="21"/>
  </w:num>
  <w:num w:numId="26" w16cid:durableId="1864396869">
    <w:abstractNumId w:val="9"/>
  </w:num>
  <w:num w:numId="27" w16cid:durableId="805901359">
    <w:abstractNumId w:val="17"/>
  </w:num>
  <w:num w:numId="28" w16cid:durableId="1729571156">
    <w:abstractNumId w:val="19"/>
  </w:num>
  <w:num w:numId="29" w16cid:durableId="347367663">
    <w:abstractNumId w:val="28"/>
  </w:num>
  <w:num w:numId="30" w16cid:durableId="1049768998">
    <w:abstractNumId w:val="23"/>
  </w:num>
  <w:num w:numId="31" w16cid:durableId="1175724755">
    <w:abstractNumId w:val="31"/>
  </w:num>
  <w:num w:numId="32" w16cid:durableId="1724058569">
    <w:abstractNumId w:val="2"/>
  </w:num>
  <w:num w:numId="33" w16cid:durableId="905993483">
    <w:abstractNumId w:val="30"/>
  </w:num>
  <w:num w:numId="34" w16cid:durableId="1447460710">
    <w:abstractNumId w:val="13"/>
  </w:num>
  <w:num w:numId="35" w16cid:durableId="595141721">
    <w:abstractNumId w:val="29"/>
  </w:num>
  <w:num w:numId="36" w16cid:durableId="300578113">
    <w:abstractNumId w:val="41"/>
  </w:num>
  <w:num w:numId="37" w16cid:durableId="1453750591">
    <w:abstractNumId w:val="40"/>
  </w:num>
  <w:num w:numId="38" w16cid:durableId="729619433">
    <w:abstractNumId w:val="18"/>
  </w:num>
  <w:num w:numId="39" w16cid:durableId="1661154776">
    <w:abstractNumId w:val="3"/>
  </w:num>
  <w:num w:numId="40" w16cid:durableId="1356923701">
    <w:abstractNumId w:val="26"/>
  </w:num>
  <w:num w:numId="41" w16cid:durableId="1734961368">
    <w:abstractNumId w:val="5"/>
  </w:num>
  <w:num w:numId="42" w16cid:durableId="588538424">
    <w:abstractNumId w:val="44"/>
  </w:num>
  <w:num w:numId="43" w16cid:durableId="1432974448">
    <w:abstractNumId w:val="33"/>
  </w:num>
  <w:num w:numId="44" w16cid:durableId="1910381567">
    <w:abstractNumId w:val="22"/>
  </w:num>
  <w:num w:numId="45" w16cid:durableId="1963609838">
    <w:abstractNumId w:val="14"/>
  </w:num>
  <w:num w:numId="46" w16cid:durableId="608316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0C"/>
    <w:rsid w:val="00001EB2"/>
    <w:rsid w:val="00027FFC"/>
    <w:rsid w:val="00063931"/>
    <w:rsid w:val="000658D7"/>
    <w:rsid w:val="00073077"/>
    <w:rsid w:val="00074967"/>
    <w:rsid w:val="00085A8E"/>
    <w:rsid w:val="000A5AD7"/>
    <w:rsid w:val="000C0A8F"/>
    <w:rsid w:val="000D1452"/>
    <w:rsid w:val="000F385A"/>
    <w:rsid w:val="000F6279"/>
    <w:rsid w:val="000F6730"/>
    <w:rsid w:val="00100ABA"/>
    <w:rsid w:val="0010390E"/>
    <w:rsid w:val="00112125"/>
    <w:rsid w:val="001208C9"/>
    <w:rsid w:val="00131454"/>
    <w:rsid w:val="00146937"/>
    <w:rsid w:val="00164BFC"/>
    <w:rsid w:val="001868F8"/>
    <w:rsid w:val="0018751F"/>
    <w:rsid w:val="00193E39"/>
    <w:rsid w:val="001A5285"/>
    <w:rsid w:val="001A5C32"/>
    <w:rsid w:val="001A6592"/>
    <w:rsid w:val="001D1DE2"/>
    <w:rsid w:val="002029FC"/>
    <w:rsid w:val="00205A54"/>
    <w:rsid w:val="002149A6"/>
    <w:rsid w:val="00223A4E"/>
    <w:rsid w:val="0024143E"/>
    <w:rsid w:val="00245336"/>
    <w:rsid w:val="0024650C"/>
    <w:rsid w:val="00246F97"/>
    <w:rsid w:val="00265D88"/>
    <w:rsid w:val="00275B7D"/>
    <w:rsid w:val="0029042C"/>
    <w:rsid w:val="0029053F"/>
    <w:rsid w:val="0029101A"/>
    <w:rsid w:val="00296C24"/>
    <w:rsid w:val="002D3F9E"/>
    <w:rsid w:val="002D5D9E"/>
    <w:rsid w:val="002E5D23"/>
    <w:rsid w:val="002F4E1A"/>
    <w:rsid w:val="002F6FDF"/>
    <w:rsid w:val="0030349A"/>
    <w:rsid w:val="00323D45"/>
    <w:rsid w:val="003366EF"/>
    <w:rsid w:val="003754A2"/>
    <w:rsid w:val="003914A0"/>
    <w:rsid w:val="003B6B8B"/>
    <w:rsid w:val="003C594B"/>
    <w:rsid w:val="003E3045"/>
    <w:rsid w:val="003E4502"/>
    <w:rsid w:val="003E69B0"/>
    <w:rsid w:val="003F337D"/>
    <w:rsid w:val="0040721A"/>
    <w:rsid w:val="00410261"/>
    <w:rsid w:val="004136B6"/>
    <w:rsid w:val="00427F25"/>
    <w:rsid w:val="00463453"/>
    <w:rsid w:val="004657C7"/>
    <w:rsid w:val="004669E4"/>
    <w:rsid w:val="00476525"/>
    <w:rsid w:val="004B20EF"/>
    <w:rsid w:val="004B4BC7"/>
    <w:rsid w:val="004B5204"/>
    <w:rsid w:val="004B793C"/>
    <w:rsid w:val="004D3D91"/>
    <w:rsid w:val="005145FC"/>
    <w:rsid w:val="00521217"/>
    <w:rsid w:val="00532EE8"/>
    <w:rsid w:val="00551284"/>
    <w:rsid w:val="00570AEA"/>
    <w:rsid w:val="005A374B"/>
    <w:rsid w:val="005C2A78"/>
    <w:rsid w:val="005D2587"/>
    <w:rsid w:val="005F2D59"/>
    <w:rsid w:val="005F3C91"/>
    <w:rsid w:val="00600E43"/>
    <w:rsid w:val="006069CB"/>
    <w:rsid w:val="006128A8"/>
    <w:rsid w:val="00630BC6"/>
    <w:rsid w:val="00643121"/>
    <w:rsid w:val="00673B96"/>
    <w:rsid w:val="00677601"/>
    <w:rsid w:val="00692C9B"/>
    <w:rsid w:val="006B6644"/>
    <w:rsid w:val="006F2E10"/>
    <w:rsid w:val="00706B8A"/>
    <w:rsid w:val="00724510"/>
    <w:rsid w:val="00726D30"/>
    <w:rsid w:val="00766E8B"/>
    <w:rsid w:val="00784D71"/>
    <w:rsid w:val="007C410A"/>
    <w:rsid w:val="007C4EFA"/>
    <w:rsid w:val="007E0D89"/>
    <w:rsid w:val="007E4694"/>
    <w:rsid w:val="00823F43"/>
    <w:rsid w:val="00831CED"/>
    <w:rsid w:val="0083468E"/>
    <w:rsid w:val="008766F2"/>
    <w:rsid w:val="00887FE8"/>
    <w:rsid w:val="00894C83"/>
    <w:rsid w:val="008A5850"/>
    <w:rsid w:val="008E1065"/>
    <w:rsid w:val="008F3DAF"/>
    <w:rsid w:val="009061D1"/>
    <w:rsid w:val="00913D2F"/>
    <w:rsid w:val="0092023D"/>
    <w:rsid w:val="00920FD7"/>
    <w:rsid w:val="00923414"/>
    <w:rsid w:val="009452D7"/>
    <w:rsid w:val="009511D2"/>
    <w:rsid w:val="0099265F"/>
    <w:rsid w:val="00995629"/>
    <w:rsid w:val="009B004A"/>
    <w:rsid w:val="009E184B"/>
    <w:rsid w:val="00A032CF"/>
    <w:rsid w:val="00A07E1E"/>
    <w:rsid w:val="00A203A6"/>
    <w:rsid w:val="00A309B4"/>
    <w:rsid w:val="00A5475F"/>
    <w:rsid w:val="00A71A17"/>
    <w:rsid w:val="00A72929"/>
    <w:rsid w:val="00A7740D"/>
    <w:rsid w:val="00AA4B94"/>
    <w:rsid w:val="00AB7D35"/>
    <w:rsid w:val="00AC5CB4"/>
    <w:rsid w:val="00AD2A97"/>
    <w:rsid w:val="00AE1557"/>
    <w:rsid w:val="00AE5FE9"/>
    <w:rsid w:val="00AF0F57"/>
    <w:rsid w:val="00AF15C2"/>
    <w:rsid w:val="00B21893"/>
    <w:rsid w:val="00B2227F"/>
    <w:rsid w:val="00B56FBC"/>
    <w:rsid w:val="00BE2963"/>
    <w:rsid w:val="00BF691F"/>
    <w:rsid w:val="00C25284"/>
    <w:rsid w:val="00C57A36"/>
    <w:rsid w:val="00C6329D"/>
    <w:rsid w:val="00C714F7"/>
    <w:rsid w:val="00C87705"/>
    <w:rsid w:val="00C912AC"/>
    <w:rsid w:val="00C92C5A"/>
    <w:rsid w:val="00CA0DEA"/>
    <w:rsid w:val="00CB4002"/>
    <w:rsid w:val="00CB4D29"/>
    <w:rsid w:val="00CD09F2"/>
    <w:rsid w:val="00CD35D3"/>
    <w:rsid w:val="00CE2ECD"/>
    <w:rsid w:val="00CE574C"/>
    <w:rsid w:val="00D13621"/>
    <w:rsid w:val="00D17C2B"/>
    <w:rsid w:val="00D25860"/>
    <w:rsid w:val="00D82845"/>
    <w:rsid w:val="00D86C38"/>
    <w:rsid w:val="00DA1F15"/>
    <w:rsid w:val="00DA246E"/>
    <w:rsid w:val="00DD31F7"/>
    <w:rsid w:val="00DD3335"/>
    <w:rsid w:val="00DD620F"/>
    <w:rsid w:val="00DE0374"/>
    <w:rsid w:val="00DE74A6"/>
    <w:rsid w:val="00DF5D92"/>
    <w:rsid w:val="00E10678"/>
    <w:rsid w:val="00E13B84"/>
    <w:rsid w:val="00E23C6D"/>
    <w:rsid w:val="00E41ACF"/>
    <w:rsid w:val="00E573C3"/>
    <w:rsid w:val="00E85456"/>
    <w:rsid w:val="00E93035"/>
    <w:rsid w:val="00E94AB9"/>
    <w:rsid w:val="00E974C5"/>
    <w:rsid w:val="00F41EF4"/>
    <w:rsid w:val="00F544E9"/>
    <w:rsid w:val="00F56C1E"/>
    <w:rsid w:val="00F84FB3"/>
    <w:rsid w:val="00FB4E13"/>
    <w:rsid w:val="00FC145D"/>
    <w:rsid w:val="00FC19A4"/>
    <w:rsid w:val="08B72BAA"/>
    <w:rsid w:val="14CEAD5B"/>
    <w:rsid w:val="5267D4D9"/>
    <w:rsid w:val="549A225C"/>
    <w:rsid w:val="6D6E1A16"/>
    <w:rsid w:val="70B90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09D9B"/>
  <w15:chartTrackingRefBased/>
  <w15:docId w15:val="{D4E10209-A105-4AA6-B27A-F134B545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0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346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346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C5CB4"/>
    <w:pPr>
      <w:keepNext/>
      <w:spacing w:after="0"/>
      <w:jc w:val="both"/>
      <w:outlineLvl w:val="3"/>
    </w:pPr>
    <w:rPr>
      <w:rFonts w:ascii="Arial" w:hAnsi="Arial" w:cs="Arial"/>
      <w:b/>
      <w:sz w:val="24"/>
      <w:szCs w:val="24"/>
    </w:rPr>
  </w:style>
  <w:style w:type="paragraph" w:styleId="Heading5">
    <w:name w:val="heading 5"/>
    <w:basedOn w:val="Normal"/>
    <w:next w:val="Normal"/>
    <w:link w:val="Heading5Char"/>
    <w:uiPriority w:val="9"/>
    <w:unhideWhenUsed/>
    <w:qFormat/>
    <w:rsid w:val="00AD2A97"/>
    <w:pPr>
      <w:keepNext/>
      <w:tabs>
        <w:tab w:val="left" w:pos="567"/>
      </w:tabs>
      <w:spacing w:after="0"/>
      <w:ind w:left="567"/>
      <w:jc w:val="both"/>
      <w:outlineLvl w:val="4"/>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paragraph" w:styleId="ListParagraph">
    <w:name w:val="List Paragraph"/>
    <w:basedOn w:val="Normal"/>
    <w:uiPriority w:val="34"/>
    <w:qFormat/>
    <w:rsid w:val="000D1452"/>
    <w:pPr>
      <w:spacing w:after="0" w:line="240" w:lineRule="auto"/>
      <w:ind w:left="720"/>
      <w:contextualSpacing/>
    </w:pPr>
  </w:style>
  <w:style w:type="paragraph" w:styleId="BodyText">
    <w:name w:val="Body Text"/>
    <w:basedOn w:val="Normal"/>
    <w:link w:val="BodyTextChar"/>
    <w:uiPriority w:val="1"/>
    <w:qFormat/>
    <w:rsid w:val="008E106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E1065"/>
    <w:rPr>
      <w:rFonts w:ascii="Arial" w:eastAsia="Arial" w:hAnsi="Arial" w:cs="Arial"/>
      <w:sz w:val="24"/>
      <w:szCs w:val="24"/>
      <w:lang w:val="en-US"/>
    </w:rPr>
  </w:style>
  <w:style w:type="paragraph" w:styleId="Title">
    <w:name w:val="Title"/>
    <w:basedOn w:val="Normal"/>
    <w:link w:val="TitleChar"/>
    <w:uiPriority w:val="1"/>
    <w:qFormat/>
    <w:rsid w:val="008E1065"/>
    <w:pPr>
      <w:widowControl w:val="0"/>
      <w:autoSpaceDE w:val="0"/>
      <w:autoSpaceDN w:val="0"/>
      <w:spacing w:after="0" w:line="240" w:lineRule="auto"/>
      <w:ind w:left="2375" w:right="1699"/>
      <w:jc w:val="center"/>
    </w:pPr>
    <w:rPr>
      <w:rFonts w:ascii="Arial" w:eastAsia="Arial" w:hAnsi="Arial" w:cs="Arial"/>
      <w:b/>
      <w:bCs/>
      <w:sz w:val="56"/>
      <w:szCs w:val="56"/>
      <w:lang w:val="en-US"/>
    </w:rPr>
  </w:style>
  <w:style w:type="character" w:customStyle="1" w:styleId="TitleChar">
    <w:name w:val="Title Char"/>
    <w:basedOn w:val="DefaultParagraphFont"/>
    <w:link w:val="Title"/>
    <w:uiPriority w:val="1"/>
    <w:rsid w:val="008E1065"/>
    <w:rPr>
      <w:rFonts w:ascii="Arial" w:eastAsia="Arial" w:hAnsi="Arial" w:cs="Arial"/>
      <w:b/>
      <w:bCs/>
      <w:sz w:val="56"/>
      <w:szCs w:val="56"/>
      <w:lang w:val="en-US"/>
    </w:rPr>
  </w:style>
  <w:style w:type="character" w:customStyle="1" w:styleId="Heading1Char">
    <w:name w:val="Heading 1 Char"/>
    <w:basedOn w:val="DefaultParagraphFont"/>
    <w:link w:val="Heading1"/>
    <w:uiPriority w:val="9"/>
    <w:rsid w:val="008E1065"/>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8E1065"/>
    <w:pPr>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C594B"/>
    <w:rPr>
      <w:sz w:val="16"/>
      <w:szCs w:val="16"/>
    </w:rPr>
  </w:style>
  <w:style w:type="paragraph" w:styleId="CommentText">
    <w:name w:val="annotation text"/>
    <w:basedOn w:val="Normal"/>
    <w:link w:val="CommentTextChar"/>
    <w:uiPriority w:val="99"/>
    <w:unhideWhenUsed/>
    <w:rsid w:val="003C594B"/>
    <w:pPr>
      <w:spacing w:line="240" w:lineRule="auto"/>
    </w:pPr>
    <w:rPr>
      <w:sz w:val="20"/>
      <w:szCs w:val="20"/>
    </w:rPr>
  </w:style>
  <w:style w:type="character" w:customStyle="1" w:styleId="CommentTextChar">
    <w:name w:val="Comment Text Char"/>
    <w:basedOn w:val="DefaultParagraphFont"/>
    <w:link w:val="CommentText"/>
    <w:uiPriority w:val="99"/>
    <w:rsid w:val="003C594B"/>
    <w:rPr>
      <w:sz w:val="20"/>
      <w:szCs w:val="20"/>
    </w:rPr>
  </w:style>
  <w:style w:type="character" w:customStyle="1" w:styleId="Heading2Char">
    <w:name w:val="Heading 2 Char"/>
    <w:basedOn w:val="DefaultParagraphFont"/>
    <w:link w:val="Heading2"/>
    <w:uiPriority w:val="9"/>
    <w:semiHidden/>
    <w:rsid w:val="008346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3468E"/>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A5C32"/>
    <w:rPr>
      <w:b/>
      <w:bCs/>
    </w:rPr>
  </w:style>
  <w:style w:type="character" w:customStyle="1" w:styleId="CommentSubjectChar">
    <w:name w:val="Comment Subject Char"/>
    <w:basedOn w:val="CommentTextChar"/>
    <w:link w:val="CommentSubject"/>
    <w:uiPriority w:val="99"/>
    <w:semiHidden/>
    <w:rsid w:val="001A5C32"/>
    <w:rPr>
      <w:b/>
      <w:bCs/>
      <w:sz w:val="20"/>
      <w:szCs w:val="20"/>
    </w:rPr>
  </w:style>
  <w:style w:type="paragraph" w:styleId="BodyTextIndent">
    <w:name w:val="Body Text Indent"/>
    <w:basedOn w:val="Normal"/>
    <w:link w:val="BodyTextIndentChar"/>
    <w:uiPriority w:val="99"/>
    <w:unhideWhenUsed/>
    <w:rsid w:val="00823F43"/>
    <w:pPr>
      <w:spacing w:after="0"/>
      <w:ind w:left="567"/>
      <w:jc w:val="both"/>
    </w:pPr>
    <w:rPr>
      <w:rFonts w:ascii="Arial" w:hAnsi="Arial" w:cs="Arial"/>
      <w:sz w:val="24"/>
      <w:szCs w:val="24"/>
    </w:rPr>
  </w:style>
  <w:style w:type="character" w:customStyle="1" w:styleId="BodyTextIndentChar">
    <w:name w:val="Body Text Indent Char"/>
    <w:basedOn w:val="DefaultParagraphFont"/>
    <w:link w:val="BodyTextIndent"/>
    <w:uiPriority w:val="99"/>
    <w:rsid w:val="00823F43"/>
    <w:rPr>
      <w:rFonts w:ascii="Arial" w:hAnsi="Arial" w:cs="Arial"/>
      <w:sz w:val="24"/>
      <w:szCs w:val="24"/>
    </w:rPr>
  </w:style>
  <w:style w:type="character" w:customStyle="1" w:styleId="Heading4Char">
    <w:name w:val="Heading 4 Char"/>
    <w:basedOn w:val="DefaultParagraphFont"/>
    <w:link w:val="Heading4"/>
    <w:uiPriority w:val="9"/>
    <w:rsid w:val="00AC5CB4"/>
    <w:rPr>
      <w:rFonts w:ascii="Arial" w:hAnsi="Arial" w:cs="Arial"/>
      <w:b/>
      <w:sz w:val="24"/>
      <w:szCs w:val="24"/>
    </w:rPr>
  </w:style>
  <w:style w:type="paragraph" w:styleId="BodyText2">
    <w:name w:val="Body Text 2"/>
    <w:basedOn w:val="Normal"/>
    <w:link w:val="BodyText2Char"/>
    <w:uiPriority w:val="99"/>
    <w:unhideWhenUsed/>
    <w:rsid w:val="00AD2A97"/>
    <w:rPr>
      <w:i/>
      <w:iCs/>
    </w:rPr>
  </w:style>
  <w:style w:type="character" w:customStyle="1" w:styleId="BodyText2Char">
    <w:name w:val="Body Text 2 Char"/>
    <w:basedOn w:val="DefaultParagraphFont"/>
    <w:link w:val="BodyText2"/>
    <w:uiPriority w:val="99"/>
    <w:rsid w:val="00AD2A97"/>
    <w:rPr>
      <w:i/>
      <w:iCs/>
    </w:rPr>
  </w:style>
  <w:style w:type="character" w:customStyle="1" w:styleId="Heading5Char">
    <w:name w:val="Heading 5 Char"/>
    <w:basedOn w:val="DefaultParagraphFont"/>
    <w:link w:val="Heading5"/>
    <w:uiPriority w:val="9"/>
    <w:rsid w:val="00AD2A97"/>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322999">
      <w:bodyDiv w:val="1"/>
      <w:marLeft w:val="0"/>
      <w:marRight w:val="0"/>
      <w:marTop w:val="0"/>
      <w:marBottom w:val="0"/>
      <w:divBdr>
        <w:top w:val="none" w:sz="0" w:space="0" w:color="auto"/>
        <w:left w:val="none" w:sz="0" w:space="0" w:color="auto"/>
        <w:bottom w:val="none" w:sz="0" w:space="0" w:color="auto"/>
        <w:right w:val="none" w:sz="0" w:space="0" w:color="auto"/>
      </w:divBdr>
    </w:div>
    <w:div w:id="617687035">
      <w:bodyDiv w:val="1"/>
      <w:marLeft w:val="0"/>
      <w:marRight w:val="0"/>
      <w:marTop w:val="0"/>
      <w:marBottom w:val="0"/>
      <w:divBdr>
        <w:top w:val="none" w:sz="0" w:space="0" w:color="auto"/>
        <w:left w:val="none" w:sz="0" w:space="0" w:color="auto"/>
        <w:bottom w:val="none" w:sz="0" w:space="0" w:color="auto"/>
        <w:right w:val="none" w:sz="0" w:space="0" w:color="auto"/>
      </w:divBdr>
    </w:div>
    <w:div w:id="1017736166">
      <w:bodyDiv w:val="1"/>
      <w:marLeft w:val="0"/>
      <w:marRight w:val="0"/>
      <w:marTop w:val="0"/>
      <w:marBottom w:val="0"/>
      <w:divBdr>
        <w:top w:val="none" w:sz="0" w:space="0" w:color="auto"/>
        <w:left w:val="none" w:sz="0" w:space="0" w:color="auto"/>
        <w:bottom w:val="none" w:sz="0" w:space="0" w:color="auto"/>
        <w:right w:val="none" w:sz="0" w:space="0" w:color="auto"/>
      </w:divBdr>
    </w:div>
    <w:div w:id="1892383627">
      <w:bodyDiv w:val="1"/>
      <w:marLeft w:val="0"/>
      <w:marRight w:val="0"/>
      <w:marTop w:val="0"/>
      <w:marBottom w:val="0"/>
      <w:divBdr>
        <w:top w:val="none" w:sz="0" w:space="0" w:color="auto"/>
        <w:left w:val="none" w:sz="0" w:space="0" w:color="auto"/>
        <w:bottom w:val="none" w:sz="0" w:space="0" w:color="auto"/>
        <w:right w:val="none" w:sz="0" w:space="0" w:color="auto"/>
      </w:divBdr>
      <w:divsChild>
        <w:div w:id="1854492055">
          <w:marLeft w:val="-225"/>
          <w:marRight w:val="-225"/>
          <w:marTop w:val="0"/>
          <w:marBottom w:val="0"/>
          <w:divBdr>
            <w:top w:val="none" w:sz="0" w:space="0" w:color="auto"/>
            <w:left w:val="none" w:sz="0" w:space="0" w:color="auto"/>
            <w:bottom w:val="none" w:sz="0" w:space="0" w:color="auto"/>
            <w:right w:val="none" w:sz="0" w:space="0" w:color="auto"/>
          </w:divBdr>
          <w:divsChild>
            <w:div w:id="43457227">
              <w:marLeft w:val="0"/>
              <w:marRight w:val="0"/>
              <w:marTop w:val="0"/>
              <w:marBottom w:val="0"/>
              <w:divBdr>
                <w:top w:val="none" w:sz="0" w:space="0" w:color="auto"/>
                <w:left w:val="none" w:sz="0" w:space="0" w:color="auto"/>
                <w:bottom w:val="none" w:sz="0" w:space="0" w:color="auto"/>
                <w:right w:val="none" w:sz="0" w:space="0" w:color="auto"/>
              </w:divBdr>
              <w:divsChild>
                <w:div w:id="362949915">
                  <w:marLeft w:val="0"/>
                  <w:marRight w:val="0"/>
                  <w:marTop w:val="0"/>
                  <w:marBottom w:val="0"/>
                  <w:divBdr>
                    <w:top w:val="none" w:sz="0" w:space="0" w:color="auto"/>
                    <w:left w:val="none" w:sz="0" w:space="0" w:color="auto"/>
                    <w:bottom w:val="none" w:sz="0" w:space="0" w:color="auto"/>
                    <w:right w:val="none" w:sz="0" w:space="0" w:color="auto"/>
                  </w:divBdr>
                  <w:divsChild>
                    <w:div w:id="1617717669">
                      <w:marLeft w:val="0"/>
                      <w:marRight w:val="0"/>
                      <w:marTop w:val="0"/>
                      <w:marBottom w:val="0"/>
                      <w:divBdr>
                        <w:top w:val="none" w:sz="0" w:space="0" w:color="auto"/>
                        <w:left w:val="none" w:sz="0" w:space="0" w:color="auto"/>
                        <w:bottom w:val="none" w:sz="0" w:space="0" w:color="auto"/>
                        <w:right w:val="none" w:sz="0" w:space="0" w:color="auto"/>
                      </w:divBdr>
                      <w:divsChild>
                        <w:div w:id="562371919">
                          <w:marLeft w:val="0"/>
                          <w:marRight w:val="0"/>
                          <w:marTop w:val="0"/>
                          <w:marBottom w:val="0"/>
                          <w:divBdr>
                            <w:top w:val="none" w:sz="0" w:space="0" w:color="auto"/>
                            <w:left w:val="none" w:sz="0" w:space="0" w:color="auto"/>
                            <w:bottom w:val="none" w:sz="0" w:space="0" w:color="auto"/>
                            <w:right w:val="none" w:sz="0" w:space="0" w:color="auto"/>
                          </w:divBdr>
                          <w:divsChild>
                            <w:div w:id="1842232085">
                              <w:marLeft w:val="0"/>
                              <w:marRight w:val="0"/>
                              <w:marTop w:val="0"/>
                              <w:marBottom w:val="0"/>
                              <w:divBdr>
                                <w:top w:val="none" w:sz="0" w:space="0" w:color="auto"/>
                                <w:left w:val="none" w:sz="0" w:space="0" w:color="auto"/>
                                <w:bottom w:val="none" w:sz="0" w:space="0" w:color="auto"/>
                                <w:right w:val="none" w:sz="0" w:space="0" w:color="auto"/>
                              </w:divBdr>
                              <w:divsChild>
                                <w:div w:id="874316419">
                                  <w:marLeft w:val="-225"/>
                                  <w:marRight w:val="-225"/>
                                  <w:marTop w:val="0"/>
                                  <w:marBottom w:val="0"/>
                                  <w:divBdr>
                                    <w:top w:val="none" w:sz="0" w:space="0" w:color="auto"/>
                                    <w:left w:val="none" w:sz="0" w:space="0" w:color="auto"/>
                                    <w:bottom w:val="none" w:sz="0" w:space="0" w:color="auto"/>
                                    <w:right w:val="none" w:sz="0" w:space="0" w:color="auto"/>
                                  </w:divBdr>
                                  <w:divsChild>
                                    <w:div w:id="692877855">
                                      <w:marLeft w:val="0"/>
                                      <w:marRight w:val="0"/>
                                      <w:marTop w:val="0"/>
                                      <w:marBottom w:val="0"/>
                                      <w:divBdr>
                                        <w:top w:val="none" w:sz="0" w:space="0" w:color="auto"/>
                                        <w:left w:val="none" w:sz="0" w:space="0" w:color="auto"/>
                                        <w:bottom w:val="none" w:sz="0" w:space="0" w:color="auto"/>
                                        <w:right w:val="none" w:sz="0" w:space="0" w:color="auto"/>
                                      </w:divBdr>
                                      <w:divsChild>
                                        <w:div w:id="10341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c@mansfield.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ansfield.gov.uk/council-councillors-democracy/complaints-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2740</Words>
  <Characters>15620</Characters>
  <Application>Microsoft Office Word</Application>
  <DocSecurity>0</DocSecurity>
  <Lines>130</Lines>
  <Paragraphs>36</Paragraphs>
  <ScaleCrop>false</ScaleCrop>
  <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Marples</dc:creator>
  <cp:lastModifiedBy>Jeanette Marples</cp:lastModifiedBy>
  <cp:revision>5</cp:revision>
  <cp:lastPrinted>1900-01-01T00:00:00Z</cp:lastPrinted>
  <dcterms:created xsi:type="dcterms:W3CDTF">2024-10-14T09:14:00Z</dcterms:created>
  <dcterms:modified xsi:type="dcterms:W3CDTF">2024-11-01T13:59:00Z</dcterms:modified>
</cp:coreProperties>
</file>